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29D2" w14:textId="140B8BCC" w:rsidR="00E61ADB" w:rsidRDefault="00BE2F84">
      <w:pPr>
        <w:rPr>
          <w:b/>
          <w:u w:val="single"/>
        </w:rPr>
      </w:pPr>
      <w:r>
        <w:rPr>
          <w:b/>
          <w:u w:val="single"/>
        </w:rPr>
        <w:t>SOURCE</w:t>
      </w:r>
      <w:r w:rsidR="0089744B" w:rsidRPr="0089744B">
        <w:rPr>
          <w:b/>
          <w:u w:val="single"/>
        </w:rPr>
        <w:t>:</w:t>
      </w:r>
    </w:p>
    <w:p w14:paraId="0BA003AE" w14:textId="77777777" w:rsidR="00B248FA" w:rsidRDefault="00B248FA" w:rsidP="78E0FE07">
      <w:r w:rsidRPr="00656E23">
        <w:t>The source segment is used to group</w:t>
      </w:r>
      <w:r>
        <w:t xml:space="preserve"> expenses (and related revenues and net assets) according to how they are funded. The classifications tell what type of entity provided the funds and whether there are restrictions on the use of the funds. </w:t>
      </w:r>
      <w:r w:rsidRPr="00656E23">
        <w:t xml:space="preserve">Reporting </w:t>
      </w:r>
      <w:r>
        <w:t>net assets</w:t>
      </w:r>
      <w:r w:rsidRPr="00656E23">
        <w:t xml:space="preserve"> by </w:t>
      </w:r>
      <w:r>
        <w:t>source</w:t>
      </w:r>
      <w:r w:rsidRPr="00656E23">
        <w:t xml:space="preserve"> classification helps donors, granting agencies, creditors, and other readers of the financial statements to understand the </w:t>
      </w:r>
      <w:r>
        <w:t>constraints we have on the use of our resources</w:t>
      </w:r>
      <w:r w:rsidRPr="00656E23">
        <w:t xml:space="preserve"> at UMB and their relative importance.</w:t>
      </w:r>
    </w:p>
    <w:tbl>
      <w:tblPr>
        <w:tblStyle w:val="TableGrid"/>
        <w:tblW w:w="10835" w:type="dxa"/>
        <w:tblInd w:w="-5" w:type="dxa"/>
        <w:tblLook w:val="04A0" w:firstRow="1" w:lastRow="0" w:firstColumn="1" w:lastColumn="0" w:noHBand="0" w:noVBand="1"/>
      </w:tblPr>
      <w:tblGrid>
        <w:gridCol w:w="2115"/>
        <w:gridCol w:w="1200"/>
        <w:gridCol w:w="2160"/>
        <w:gridCol w:w="5360"/>
      </w:tblGrid>
      <w:tr w:rsidR="00072027" w14:paraId="7096CF53" w14:textId="77777777" w:rsidTr="008A13B8">
        <w:trPr>
          <w:cnfStyle w:val="100000000000" w:firstRow="1" w:lastRow="0" w:firstColumn="0" w:lastColumn="0" w:oddVBand="0" w:evenVBand="0" w:oddHBand="0" w:evenHBand="0" w:firstRowFirstColumn="0" w:firstRowLastColumn="0" w:lastRowFirstColumn="0" w:lastRowLastColumn="0"/>
          <w:cantSplit/>
          <w:tblHeader/>
        </w:trPr>
        <w:tc>
          <w:tcPr>
            <w:tcW w:w="0" w:type="dxa"/>
            <w:shd w:val="clear" w:color="auto" w:fill="000000" w:themeFill="text1"/>
          </w:tcPr>
          <w:p w14:paraId="35B15B4E" w14:textId="095E9B9C" w:rsidR="0089744B" w:rsidRPr="0089744B" w:rsidRDefault="00B248FA" w:rsidP="0089744B">
            <w:pPr>
              <w:rPr>
                <w:color w:val="F9DE3D"/>
              </w:rPr>
            </w:pPr>
            <w:r>
              <w:rPr>
                <w:color w:val="F9DE3D"/>
              </w:rPr>
              <w:t>Source</w:t>
            </w:r>
            <w:r w:rsidRPr="0089744B">
              <w:rPr>
                <w:color w:val="F9DE3D"/>
              </w:rPr>
              <w:t xml:space="preserve"> </w:t>
            </w:r>
            <w:r w:rsidR="0089744B" w:rsidRPr="0089744B">
              <w:rPr>
                <w:color w:val="F9DE3D"/>
              </w:rPr>
              <w:t>Roll-Up</w:t>
            </w:r>
          </w:p>
        </w:tc>
        <w:tc>
          <w:tcPr>
            <w:tcW w:w="0" w:type="dxa"/>
            <w:shd w:val="clear" w:color="auto" w:fill="000000" w:themeFill="text1"/>
          </w:tcPr>
          <w:p w14:paraId="5FFEEB38" w14:textId="0D8454FD" w:rsidR="0089744B" w:rsidRPr="0089744B" w:rsidRDefault="00B248FA">
            <w:pPr>
              <w:rPr>
                <w:color w:val="F9DE3D"/>
              </w:rPr>
            </w:pPr>
            <w:r>
              <w:rPr>
                <w:color w:val="F9DE3D"/>
              </w:rPr>
              <w:t>Source Value</w:t>
            </w:r>
          </w:p>
        </w:tc>
        <w:tc>
          <w:tcPr>
            <w:tcW w:w="0" w:type="dxa"/>
            <w:shd w:val="clear" w:color="auto" w:fill="000000" w:themeFill="text1"/>
          </w:tcPr>
          <w:p w14:paraId="5C0F98D8" w14:textId="28BD32EC" w:rsidR="0089744B" w:rsidRPr="0089744B" w:rsidRDefault="00B248FA">
            <w:pPr>
              <w:rPr>
                <w:color w:val="F9DE3D"/>
              </w:rPr>
            </w:pPr>
            <w:r>
              <w:rPr>
                <w:color w:val="F9DE3D"/>
              </w:rPr>
              <w:t>Source Description</w:t>
            </w:r>
          </w:p>
        </w:tc>
        <w:tc>
          <w:tcPr>
            <w:tcW w:w="0" w:type="dxa"/>
            <w:shd w:val="clear" w:color="auto" w:fill="000000" w:themeFill="text1"/>
          </w:tcPr>
          <w:p w14:paraId="7CBC1766" w14:textId="7D57465F" w:rsidR="0089744B" w:rsidRPr="0089744B" w:rsidRDefault="00B248FA" w:rsidP="0089744B">
            <w:pPr>
              <w:rPr>
                <w:color w:val="F9DE3D"/>
              </w:rPr>
            </w:pPr>
            <w:r>
              <w:rPr>
                <w:color w:val="F9DE3D"/>
              </w:rPr>
              <w:t>Source Definition</w:t>
            </w:r>
          </w:p>
        </w:tc>
      </w:tr>
      <w:tr w:rsidR="00072027" w14:paraId="7B9DEBA6" w14:textId="77777777" w:rsidTr="008A13B8">
        <w:tc>
          <w:tcPr>
            <w:tcW w:w="2115" w:type="dxa"/>
          </w:tcPr>
          <w:p w14:paraId="672A6659" w14:textId="77777777" w:rsidR="0089744B" w:rsidRDefault="0089744B"/>
        </w:tc>
        <w:tc>
          <w:tcPr>
            <w:tcW w:w="1200" w:type="dxa"/>
          </w:tcPr>
          <w:p w14:paraId="370958D6" w14:textId="77777777" w:rsidR="0089744B" w:rsidRDefault="0089744B">
            <w:r>
              <w:t>000</w:t>
            </w:r>
          </w:p>
        </w:tc>
        <w:tc>
          <w:tcPr>
            <w:tcW w:w="0" w:type="dxa"/>
          </w:tcPr>
          <w:p w14:paraId="0CA17B8A" w14:textId="7E0BEA75" w:rsidR="0089744B" w:rsidRDefault="3BDBC59C">
            <w:r>
              <w:t>Clearing</w:t>
            </w:r>
          </w:p>
        </w:tc>
        <w:tc>
          <w:tcPr>
            <w:tcW w:w="0" w:type="dxa"/>
          </w:tcPr>
          <w:p w14:paraId="0A37501D" w14:textId="599535DE" w:rsidR="0089744B" w:rsidRDefault="00461F51">
            <w:r>
              <w:t>Used to track activity on a temporary basis until the appropriate classification is determined or for use with certain balance sheet objects</w:t>
            </w:r>
            <w:r w:rsidR="00AD63ED">
              <w:t xml:space="preserve"> where the balance will eventually be zero</w:t>
            </w:r>
          </w:p>
        </w:tc>
      </w:tr>
      <w:tr w:rsidR="00072027" w14:paraId="629D406F" w14:textId="77777777" w:rsidTr="008A13B8">
        <w:tc>
          <w:tcPr>
            <w:tcW w:w="0" w:type="dxa"/>
            <w:shd w:val="clear" w:color="auto" w:fill="F9DE3D"/>
          </w:tcPr>
          <w:p w14:paraId="6D78622E" w14:textId="0BC94166" w:rsidR="0089744B" w:rsidRPr="0089744B" w:rsidRDefault="00BE2F84">
            <w:pPr>
              <w:rPr>
                <w:b/>
              </w:rPr>
            </w:pPr>
            <w:r>
              <w:rPr>
                <w:b/>
              </w:rPr>
              <w:t>State Appropriation</w:t>
            </w:r>
          </w:p>
        </w:tc>
        <w:tc>
          <w:tcPr>
            <w:tcW w:w="0" w:type="dxa"/>
            <w:shd w:val="clear" w:color="auto" w:fill="F9DE3D"/>
          </w:tcPr>
          <w:p w14:paraId="5DAB6C7B" w14:textId="2D9E92DD" w:rsidR="0089744B" w:rsidRPr="0089744B" w:rsidRDefault="3BDBC59C" w:rsidP="3BDBC59C">
            <w:pPr>
              <w:rPr>
                <w:b/>
                <w:bCs/>
              </w:rPr>
            </w:pPr>
            <w:r w:rsidRPr="3BDBC59C">
              <w:rPr>
                <w:b/>
                <w:bCs/>
              </w:rPr>
              <w:t>C10</w:t>
            </w:r>
          </w:p>
        </w:tc>
        <w:tc>
          <w:tcPr>
            <w:tcW w:w="2160" w:type="dxa"/>
            <w:shd w:val="clear" w:color="auto" w:fill="F9DE3D"/>
          </w:tcPr>
          <w:p w14:paraId="02EB378F" w14:textId="77777777" w:rsidR="0089744B" w:rsidRPr="0089744B" w:rsidRDefault="0089744B">
            <w:pPr>
              <w:rPr>
                <w:b/>
              </w:rPr>
            </w:pPr>
          </w:p>
        </w:tc>
        <w:tc>
          <w:tcPr>
            <w:tcW w:w="5360" w:type="dxa"/>
            <w:shd w:val="clear" w:color="auto" w:fill="F9DE3D"/>
          </w:tcPr>
          <w:p w14:paraId="6A05A809" w14:textId="1833A506" w:rsidR="0089744B" w:rsidRPr="0089744B" w:rsidRDefault="0089744B" w:rsidP="5E0EDAA6">
            <w:pPr>
              <w:rPr>
                <w:b/>
                <w:bCs/>
              </w:rPr>
            </w:pPr>
          </w:p>
        </w:tc>
      </w:tr>
      <w:tr w:rsidR="00072027" w14:paraId="1E90DE7D" w14:textId="77777777" w:rsidTr="008A13B8">
        <w:tc>
          <w:tcPr>
            <w:tcW w:w="2115" w:type="dxa"/>
          </w:tcPr>
          <w:p w14:paraId="5A39BBE3" w14:textId="77777777" w:rsidR="0089744B" w:rsidRDefault="0089744B"/>
        </w:tc>
        <w:tc>
          <w:tcPr>
            <w:tcW w:w="1200" w:type="dxa"/>
          </w:tcPr>
          <w:p w14:paraId="1C213BED" w14:textId="7812FBFF" w:rsidR="0089744B" w:rsidRDefault="00BE2F84">
            <w:r>
              <w:t>105</w:t>
            </w:r>
          </w:p>
        </w:tc>
        <w:tc>
          <w:tcPr>
            <w:tcW w:w="0" w:type="dxa"/>
          </w:tcPr>
          <w:p w14:paraId="132E07BE" w14:textId="249D4AE4" w:rsidR="0089744B" w:rsidRDefault="00BE2F84">
            <w:r>
              <w:t>General Appropriations</w:t>
            </w:r>
          </w:p>
        </w:tc>
        <w:tc>
          <w:tcPr>
            <w:tcW w:w="0" w:type="dxa"/>
          </w:tcPr>
          <w:p w14:paraId="0A57B197" w14:textId="6985EC78" w:rsidR="0089744B" w:rsidRDefault="00AD63ED" w:rsidP="0089744B">
            <w:pPr>
              <w:widowControl w:val="0"/>
            </w:pPr>
            <w:r w:rsidRPr="007E30D3">
              <w:t>Funds that are</w:t>
            </w:r>
            <w:r w:rsidR="00C51164" w:rsidRPr="007E30D3">
              <w:t xml:space="preserve"> legally authorized by the General Assembly</w:t>
            </w:r>
            <w:r w:rsidR="00C51164">
              <w:t xml:space="preserve"> that includes </w:t>
            </w:r>
            <w:r w:rsidR="5E0EDAA6">
              <w:t>Tuition &amp; Fees, State Appropriations, Higher Education Investment Funds, Foundations, Indirect Cost Recoveries, etc....</w:t>
            </w:r>
          </w:p>
        </w:tc>
      </w:tr>
      <w:tr w:rsidR="00072027" w14:paraId="6AFE1E74" w14:textId="77777777" w:rsidTr="008A13B8">
        <w:tc>
          <w:tcPr>
            <w:tcW w:w="2115" w:type="dxa"/>
          </w:tcPr>
          <w:p w14:paraId="41C8F396" w14:textId="77777777" w:rsidR="0089744B" w:rsidRDefault="0089744B"/>
        </w:tc>
        <w:tc>
          <w:tcPr>
            <w:tcW w:w="1200" w:type="dxa"/>
          </w:tcPr>
          <w:p w14:paraId="6CC8039C" w14:textId="07109006" w:rsidR="0089744B" w:rsidRDefault="00BE2F84">
            <w:r>
              <w:t>115</w:t>
            </w:r>
          </w:p>
        </w:tc>
        <w:tc>
          <w:tcPr>
            <w:tcW w:w="0" w:type="dxa"/>
          </w:tcPr>
          <w:p w14:paraId="210679C6" w14:textId="600164E1" w:rsidR="0089744B" w:rsidRDefault="3BDBC59C">
            <w:r>
              <w:t>UMB Designated Appropriations</w:t>
            </w:r>
          </w:p>
        </w:tc>
        <w:tc>
          <w:tcPr>
            <w:tcW w:w="0" w:type="dxa"/>
          </w:tcPr>
          <w:p w14:paraId="72A3D3EC" w14:textId="301321BD" w:rsidR="0089744B" w:rsidRDefault="5E0EDAA6" w:rsidP="00B248FA">
            <w:r>
              <w:t xml:space="preserve">General Appropriations set aside </w:t>
            </w:r>
            <w:r w:rsidR="00B248FA">
              <w:t xml:space="preserve">by senior leadership </w:t>
            </w:r>
            <w:r>
              <w:t xml:space="preserve">for </w:t>
            </w:r>
            <w:r w:rsidR="00B248FA">
              <w:t xml:space="preserve">university </w:t>
            </w:r>
            <w:r>
              <w:t xml:space="preserve">wide initiatives that are deemed to benefit the entire </w:t>
            </w:r>
            <w:r w:rsidR="00B248FA">
              <w:t>university</w:t>
            </w:r>
            <w:r>
              <w:t xml:space="preserve">. </w:t>
            </w:r>
          </w:p>
        </w:tc>
      </w:tr>
      <w:tr w:rsidR="00072027" w14:paraId="6B79ABCB" w14:textId="77777777" w:rsidTr="008A13B8">
        <w:tc>
          <w:tcPr>
            <w:tcW w:w="2115" w:type="dxa"/>
          </w:tcPr>
          <w:p w14:paraId="0D0B940D" w14:textId="77777777" w:rsidR="0089744B" w:rsidRDefault="0089744B"/>
        </w:tc>
        <w:tc>
          <w:tcPr>
            <w:tcW w:w="1200" w:type="dxa"/>
          </w:tcPr>
          <w:p w14:paraId="72CF255B" w14:textId="2306D4BC" w:rsidR="0089744B" w:rsidRDefault="00BE2F84">
            <w:r>
              <w:t>125</w:t>
            </w:r>
          </w:p>
        </w:tc>
        <w:tc>
          <w:tcPr>
            <w:tcW w:w="0" w:type="dxa"/>
          </w:tcPr>
          <w:p w14:paraId="5461A6B5" w14:textId="5D5D7AD0" w:rsidR="0089744B" w:rsidRDefault="764A4EAC">
            <w:r>
              <w:t>Dean Designated Appropriations</w:t>
            </w:r>
          </w:p>
        </w:tc>
        <w:tc>
          <w:tcPr>
            <w:tcW w:w="0" w:type="dxa"/>
          </w:tcPr>
          <w:p w14:paraId="70642F28" w14:textId="7044CFCE" w:rsidR="0089744B" w:rsidRDefault="5E0EDAA6" w:rsidP="0089744B">
            <w:pPr>
              <w:widowControl w:val="0"/>
            </w:pPr>
            <w:r>
              <w:t xml:space="preserve">General Appropriations reallocated at the Dean's discretion.  </w:t>
            </w:r>
          </w:p>
        </w:tc>
      </w:tr>
      <w:tr w:rsidR="3BDBC59C" w14:paraId="00247322" w14:textId="77777777" w:rsidTr="008A13B8">
        <w:tc>
          <w:tcPr>
            <w:tcW w:w="2115" w:type="dxa"/>
          </w:tcPr>
          <w:p w14:paraId="66475F80" w14:textId="76BE5C72" w:rsidR="3BDBC59C" w:rsidRDefault="3BDBC59C" w:rsidP="3BDBC59C"/>
        </w:tc>
        <w:tc>
          <w:tcPr>
            <w:tcW w:w="1200" w:type="dxa"/>
          </w:tcPr>
          <w:p w14:paraId="7ECB2DAB" w14:textId="3A62A57F" w:rsidR="3BDBC59C" w:rsidRDefault="3BDBC59C" w:rsidP="3BDBC59C">
            <w:r>
              <w:t>135</w:t>
            </w:r>
          </w:p>
        </w:tc>
        <w:tc>
          <w:tcPr>
            <w:tcW w:w="2160" w:type="dxa"/>
          </w:tcPr>
          <w:p w14:paraId="4F0AEF9A" w14:textId="06A8D68C" w:rsidR="3BDBC59C" w:rsidRDefault="006D06C4" w:rsidP="3BDBC59C">
            <w:hyperlink r:id="rId9">
              <w:r w:rsidR="7A003A39" w:rsidRPr="7A003A39">
                <w:rPr>
                  <w:rStyle w:val="Hyperlink"/>
                </w:rPr>
                <w:t>MPower</w:t>
              </w:r>
            </w:hyperlink>
          </w:p>
        </w:tc>
        <w:tc>
          <w:tcPr>
            <w:tcW w:w="0" w:type="dxa"/>
          </w:tcPr>
          <w:p w14:paraId="421AD99B" w14:textId="3E365EE7" w:rsidR="3BDBC59C" w:rsidRDefault="7A003A39" w:rsidP="3BDBC59C">
            <w:r>
              <w:t>Funding of specific initiatives by the University of Maryland Strategic Partnership.  A collaborative effort between UMB and UMCP.</w:t>
            </w:r>
          </w:p>
        </w:tc>
      </w:tr>
      <w:tr w:rsidR="00BE2F84" w14:paraId="363C3529" w14:textId="77777777" w:rsidTr="008A13B8">
        <w:tc>
          <w:tcPr>
            <w:tcW w:w="0" w:type="dxa"/>
            <w:shd w:val="clear" w:color="auto" w:fill="F9DE3D"/>
          </w:tcPr>
          <w:p w14:paraId="0E27B00A" w14:textId="39225AAD" w:rsidR="00BE2F84" w:rsidRDefault="7A003A39">
            <w:r w:rsidRPr="7A003A39">
              <w:rPr>
                <w:b/>
                <w:bCs/>
              </w:rPr>
              <w:t>Discretionary Research Investment Funds</w:t>
            </w:r>
          </w:p>
        </w:tc>
        <w:tc>
          <w:tcPr>
            <w:tcW w:w="0" w:type="dxa"/>
            <w:shd w:val="clear" w:color="auto" w:fill="F9DE3D"/>
          </w:tcPr>
          <w:p w14:paraId="7705F89A" w14:textId="63374F39" w:rsidR="00BE2F84" w:rsidRPr="00BE2F84" w:rsidRDefault="3BDBC59C" w:rsidP="3BDBC59C">
            <w:pPr>
              <w:rPr>
                <w:b/>
                <w:bCs/>
              </w:rPr>
            </w:pPr>
            <w:r w:rsidRPr="3BDBC59C">
              <w:rPr>
                <w:b/>
                <w:bCs/>
              </w:rPr>
              <w:t>C15</w:t>
            </w:r>
          </w:p>
        </w:tc>
        <w:tc>
          <w:tcPr>
            <w:tcW w:w="2160" w:type="dxa"/>
            <w:shd w:val="clear" w:color="auto" w:fill="F9DE3D"/>
          </w:tcPr>
          <w:p w14:paraId="680642B9" w14:textId="6A179371" w:rsidR="00BE2F84" w:rsidRDefault="00BE2F84" w:rsidP="5E0EDAA6">
            <w:pPr>
              <w:rPr>
                <w:b/>
                <w:bCs/>
              </w:rPr>
            </w:pPr>
          </w:p>
        </w:tc>
        <w:tc>
          <w:tcPr>
            <w:tcW w:w="5360" w:type="dxa"/>
            <w:shd w:val="clear" w:color="auto" w:fill="F9DE3D"/>
          </w:tcPr>
          <w:p w14:paraId="60061E4C" w14:textId="46E39B49" w:rsidR="00BE2F84" w:rsidRDefault="00BE2F84" w:rsidP="764A4EAC">
            <w:pPr>
              <w:widowControl w:val="0"/>
              <w:rPr>
                <w:b/>
                <w:bCs/>
              </w:rPr>
            </w:pPr>
          </w:p>
        </w:tc>
      </w:tr>
      <w:tr w:rsidR="00BE2F84" w14:paraId="1A44CD25" w14:textId="77777777" w:rsidTr="008A13B8">
        <w:tc>
          <w:tcPr>
            <w:tcW w:w="2115" w:type="dxa"/>
            <w:shd w:val="clear" w:color="auto" w:fill="auto"/>
          </w:tcPr>
          <w:p w14:paraId="44EAFD9C" w14:textId="258038BC" w:rsidR="00BE2F84" w:rsidRDefault="00BE2F84"/>
        </w:tc>
        <w:tc>
          <w:tcPr>
            <w:tcW w:w="1200" w:type="dxa"/>
            <w:shd w:val="clear" w:color="auto" w:fill="auto"/>
          </w:tcPr>
          <w:p w14:paraId="6A89157D" w14:textId="31CC045E" w:rsidR="00BE2F84" w:rsidRDefault="00BE2F84" w:rsidP="00BE2F84">
            <w:r>
              <w:t>155</w:t>
            </w:r>
          </w:p>
        </w:tc>
        <w:tc>
          <w:tcPr>
            <w:tcW w:w="0" w:type="dxa"/>
            <w:shd w:val="clear" w:color="auto" w:fill="auto"/>
          </w:tcPr>
          <w:p w14:paraId="022D3AFE" w14:textId="2306C738" w:rsidR="00BE2F84" w:rsidRDefault="00BE2F84">
            <w:r>
              <w:t>DRIF</w:t>
            </w:r>
          </w:p>
        </w:tc>
        <w:tc>
          <w:tcPr>
            <w:tcW w:w="0" w:type="dxa"/>
            <w:shd w:val="clear" w:color="auto" w:fill="auto"/>
          </w:tcPr>
          <w:p w14:paraId="4B94D5A5" w14:textId="4033D29A" w:rsidR="00BE2F84" w:rsidRDefault="764A4EAC" w:rsidP="0089744B">
            <w:pPr>
              <w:widowControl w:val="0"/>
            </w:pPr>
            <w:r>
              <w:t>A distribution of indirect cost recovery for investment in research</w:t>
            </w:r>
          </w:p>
        </w:tc>
      </w:tr>
      <w:tr w:rsidR="3BDBC59C" w14:paraId="517E0971" w14:textId="77777777" w:rsidTr="008A13B8">
        <w:tc>
          <w:tcPr>
            <w:tcW w:w="2115" w:type="dxa"/>
            <w:shd w:val="clear" w:color="auto" w:fill="auto"/>
          </w:tcPr>
          <w:p w14:paraId="2A13CE79" w14:textId="10F1D7FB" w:rsidR="3BDBC59C" w:rsidRDefault="3BDBC59C" w:rsidP="3BDBC59C"/>
        </w:tc>
        <w:tc>
          <w:tcPr>
            <w:tcW w:w="1200" w:type="dxa"/>
            <w:shd w:val="clear" w:color="auto" w:fill="auto"/>
          </w:tcPr>
          <w:p w14:paraId="6A3DCD74" w14:textId="4D49F82C" w:rsidR="3BDBC59C" w:rsidRDefault="3BDBC59C" w:rsidP="3BDBC59C">
            <w:r>
              <w:t>165</w:t>
            </w:r>
          </w:p>
        </w:tc>
        <w:tc>
          <w:tcPr>
            <w:tcW w:w="0" w:type="dxa"/>
            <w:shd w:val="clear" w:color="auto" w:fill="auto"/>
          </w:tcPr>
          <w:p w14:paraId="18F933F2" w14:textId="121D221D" w:rsidR="3BDBC59C" w:rsidRDefault="3BDBC59C" w:rsidP="3BDBC59C">
            <w:r>
              <w:t>Dean Designated DRIF</w:t>
            </w:r>
          </w:p>
        </w:tc>
        <w:tc>
          <w:tcPr>
            <w:tcW w:w="0" w:type="dxa"/>
            <w:shd w:val="clear" w:color="auto" w:fill="auto"/>
          </w:tcPr>
          <w:p w14:paraId="04AD1454" w14:textId="5079F700" w:rsidR="3BDBC59C" w:rsidRDefault="3BDBC59C" w:rsidP="3BDBC59C">
            <w:r>
              <w:t>A further all</w:t>
            </w:r>
            <w:r w:rsidR="00E10085">
              <w:t>ocation of DRIF at the Dean’s di</w:t>
            </w:r>
            <w:r>
              <w:t>scretion</w:t>
            </w:r>
          </w:p>
        </w:tc>
      </w:tr>
      <w:tr w:rsidR="00BE2F84" w14:paraId="529D126C" w14:textId="77777777" w:rsidTr="008A13B8">
        <w:tc>
          <w:tcPr>
            <w:tcW w:w="0" w:type="dxa"/>
            <w:shd w:val="clear" w:color="auto" w:fill="F9DE3D"/>
          </w:tcPr>
          <w:p w14:paraId="3DEEC669" w14:textId="760A7B92" w:rsidR="00BE2F84" w:rsidRDefault="00BE2F84">
            <w:r>
              <w:rPr>
                <w:b/>
              </w:rPr>
              <w:t>Revolving Funds</w:t>
            </w:r>
          </w:p>
        </w:tc>
        <w:tc>
          <w:tcPr>
            <w:tcW w:w="0" w:type="dxa"/>
            <w:shd w:val="clear" w:color="auto" w:fill="F9DE3D"/>
          </w:tcPr>
          <w:p w14:paraId="2706D5E6" w14:textId="0722195D" w:rsidR="00BE2F84" w:rsidRPr="00BE2F84" w:rsidRDefault="3BDBC59C" w:rsidP="3BDBC59C">
            <w:pPr>
              <w:rPr>
                <w:b/>
                <w:bCs/>
              </w:rPr>
            </w:pPr>
            <w:r w:rsidRPr="3BDBC59C">
              <w:rPr>
                <w:b/>
                <w:bCs/>
              </w:rPr>
              <w:t>C20</w:t>
            </w:r>
          </w:p>
        </w:tc>
        <w:tc>
          <w:tcPr>
            <w:tcW w:w="2160" w:type="dxa"/>
            <w:shd w:val="clear" w:color="auto" w:fill="F9DE3D"/>
          </w:tcPr>
          <w:p w14:paraId="67AC7CDD" w14:textId="1DC93131" w:rsidR="00BE2F84" w:rsidRDefault="00BE2F84" w:rsidP="5E0EDAA6">
            <w:pPr>
              <w:rPr>
                <w:b/>
                <w:bCs/>
              </w:rPr>
            </w:pPr>
          </w:p>
        </w:tc>
        <w:tc>
          <w:tcPr>
            <w:tcW w:w="5360" w:type="dxa"/>
            <w:shd w:val="clear" w:color="auto" w:fill="F9DE3D"/>
          </w:tcPr>
          <w:p w14:paraId="3656B9AB" w14:textId="24C9116B" w:rsidR="00BE2F84" w:rsidRDefault="00BE2F84" w:rsidP="764A4EAC">
            <w:pPr>
              <w:widowControl w:val="0"/>
              <w:rPr>
                <w:b/>
                <w:bCs/>
              </w:rPr>
            </w:pPr>
          </w:p>
        </w:tc>
      </w:tr>
      <w:tr w:rsidR="00BE2F84" w14:paraId="15880D05" w14:textId="77777777" w:rsidTr="008A13B8">
        <w:tc>
          <w:tcPr>
            <w:tcW w:w="2115" w:type="dxa"/>
            <w:shd w:val="clear" w:color="auto" w:fill="auto"/>
          </w:tcPr>
          <w:p w14:paraId="25AF9192" w14:textId="2CDFF9AD" w:rsidR="00BE2F84" w:rsidRPr="00072027" w:rsidRDefault="00BE2F84">
            <w:pPr>
              <w:rPr>
                <w:b/>
              </w:rPr>
            </w:pPr>
          </w:p>
        </w:tc>
        <w:tc>
          <w:tcPr>
            <w:tcW w:w="1200" w:type="dxa"/>
            <w:shd w:val="clear" w:color="auto" w:fill="auto"/>
          </w:tcPr>
          <w:p w14:paraId="45FB0818" w14:textId="3E2631F1" w:rsidR="00BE2F84" w:rsidRPr="00072027" w:rsidRDefault="00BE2F84">
            <w:pPr>
              <w:rPr>
                <w:b/>
              </w:rPr>
            </w:pPr>
            <w:r>
              <w:t>205</w:t>
            </w:r>
          </w:p>
        </w:tc>
        <w:tc>
          <w:tcPr>
            <w:tcW w:w="0" w:type="dxa"/>
            <w:shd w:val="clear" w:color="auto" w:fill="auto"/>
          </w:tcPr>
          <w:p w14:paraId="049F31CB" w14:textId="4D1AE91D" w:rsidR="00BE2F84" w:rsidRPr="00072027" w:rsidRDefault="00BE2F84">
            <w:pPr>
              <w:rPr>
                <w:b/>
              </w:rPr>
            </w:pPr>
            <w:r>
              <w:t>General Revolving</w:t>
            </w:r>
          </w:p>
        </w:tc>
        <w:tc>
          <w:tcPr>
            <w:tcW w:w="0" w:type="dxa"/>
            <w:shd w:val="clear" w:color="auto" w:fill="auto"/>
          </w:tcPr>
          <w:p w14:paraId="53128261" w14:textId="187968DD" w:rsidR="00BE2F84" w:rsidRPr="00072027" w:rsidRDefault="764A4EAC" w:rsidP="0089744B">
            <w:pPr>
              <w:widowControl w:val="0"/>
            </w:pPr>
            <w:r>
              <w:t>Self-supporting activities that are not auxiliaries or externally sponsored contract and grants</w:t>
            </w:r>
          </w:p>
        </w:tc>
      </w:tr>
      <w:tr w:rsidR="00BE2F84" w14:paraId="50E07599" w14:textId="77777777" w:rsidTr="008A13B8">
        <w:tc>
          <w:tcPr>
            <w:tcW w:w="2115" w:type="dxa"/>
            <w:shd w:val="clear" w:color="auto" w:fill="auto"/>
          </w:tcPr>
          <w:p w14:paraId="62486C05" w14:textId="0448F580" w:rsidR="00BE2F84" w:rsidRPr="00072027" w:rsidRDefault="00BE2F84"/>
        </w:tc>
        <w:tc>
          <w:tcPr>
            <w:tcW w:w="1200" w:type="dxa"/>
            <w:shd w:val="clear" w:color="auto" w:fill="auto"/>
          </w:tcPr>
          <w:p w14:paraId="1C9AB277" w14:textId="7C209B0A" w:rsidR="00BE2F84" w:rsidRPr="00072027" w:rsidRDefault="00BE2F84">
            <w:r>
              <w:t>215</w:t>
            </w:r>
          </w:p>
        </w:tc>
        <w:tc>
          <w:tcPr>
            <w:tcW w:w="0" w:type="dxa"/>
            <w:shd w:val="clear" w:color="auto" w:fill="auto"/>
          </w:tcPr>
          <w:p w14:paraId="7C3C1F36" w14:textId="31628933" w:rsidR="00BE2F84" w:rsidRPr="00072027" w:rsidRDefault="3BDBC59C">
            <w:r>
              <w:t>Dean Designated Revolving</w:t>
            </w:r>
          </w:p>
        </w:tc>
        <w:tc>
          <w:tcPr>
            <w:tcW w:w="0" w:type="dxa"/>
            <w:shd w:val="clear" w:color="auto" w:fill="auto"/>
          </w:tcPr>
          <w:p w14:paraId="4101652C" w14:textId="120F71F4" w:rsidR="00BE2F84" w:rsidRPr="00072027" w:rsidRDefault="764A4EAC" w:rsidP="009E5551">
            <w:pPr>
              <w:widowControl w:val="0"/>
            </w:pPr>
            <w:r>
              <w:t>Revolving fund activity directed at the Dean’s discretion</w:t>
            </w:r>
          </w:p>
        </w:tc>
      </w:tr>
      <w:tr w:rsidR="00BE2F84" w14:paraId="78CA5E53" w14:textId="77777777" w:rsidTr="008A13B8">
        <w:tc>
          <w:tcPr>
            <w:tcW w:w="2115" w:type="dxa"/>
            <w:shd w:val="clear" w:color="auto" w:fill="auto"/>
          </w:tcPr>
          <w:p w14:paraId="4B99056E" w14:textId="7BF72E20" w:rsidR="00BE2F84" w:rsidRPr="00072027" w:rsidRDefault="00BE2F84"/>
        </w:tc>
        <w:tc>
          <w:tcPr>
            <w:tcW w:w="1200" w:type="dxa"/>
            <w:shd w:val="clear" w:color="auto" w:fill="auto"/>
          </w:tcPr>
          <w:p w14:paraId="3103C4DE" w14:textId="0965B254" w:rsidR="00BE2F84" w:rsidRDefault="00BE2F84">
            <w:r>
              <w:t>225</w:t>
            </w:r>
          </w:p>
        </w:tc>
        <w:tc>
          <w:tcPr>
            <w:tcW w:w="0" w:type="dxa"/>
            <w:shd w:val="clear" w:color="auto" w:fill="auto"/>
          </w:tcPr>
          <w:p w14:paraId="533CB50F" w14:textId="75129CF5" w:rsidR="00BE2F84" w:rsidRPr="00072027" w:rsidRDefault="3BDBC59C">
            <w:r>
              <w:t>Department Designated Revolving</w:t>
            </w:r>
          </w:p>
        </w:tc>
        <w:tc>
          <w:tcPr>
            <w:tcW w:w="0" w:type="dxa"/>
            <w:shd w:val="clear" w:color="auto" w:fill="auto"/>
          </w:tcPr>
          <w:p w14:paraId="1299C43A" w14:textId="5F454306" w:rsidR="00BE2F84" w:rsidRPr="00072027" w:rsidRDefault="764A4EAC" w:rsidP="0089744B">
            <w:pPr>
              <w:widowControl w:val="0"/>
            </w:pPr>
            <w:r>
              <w:t>Revolving fund activity directed at the department level</w:t>
            </w:r>
          </w:p>
        </w:tc>
      </w:tr>
      <w:tr w:rsidR="00BE2F84" w14:paraId="5F575BBB" w14:textId="77777777" w:rsidTr="008A13B8">
        <w:tc>
          <w:tcPr>
            <w:tcW w:w="2115" w:type="dxa"/>
            <w:shd w:val="clear" w:color="auto" w:fill="auto"/>
          </w:tcPr>
          <w:p w14:paraId="4DDBEF00" w14:textId="77777777" w:rsidR="00BE2F84" w:rsidRPr="00072027" w:rsidRDefault="00BE2F84"/>
        </w:tc>
        <w:tc>
          <w:tcPr>
            <w:tcW w:w="1200" w:type="dxa"/>
            <w:shd w:val="clear" w:color="auto" w:fill="auto"/>
          </w:tcPr>
          <w:p w14:paraId="08A38221" w14:textId="27941431" w:rsidR="00BE2F84" w:rsidRDefault="00BE2F84">
            <w:r>
              <w:t>235</w:t>
            </w:r>
          </w:p>
        </w:tc>
        <w:tc>
          <w:tcPr>
            <w:tcW w:w="0" w:type="dxa"/>
            <w:shd w:val="clear" w:color="auto" w:fill="auto"/>
          </w:tcPr>
          <w:p w14:paraId="0A984D94" w14:textId="5FF49A6C" w:rsidR="00BE2F84" w:rsidRPr="00072027" w:rsidRDefault="3BDBC59C">
            <w:r>
              <w:t>Faculty Revolving</w:t>
            </w:r>
          </w:p>
        </w:tc>
        <w:tc>
          <w:tcPr>
            <w:tcW w:w="0" w:type="dxa"/>
            <w:shd w:val="clear" w:color="auto" w:fill="auto"/>
          </w:tcPr>
          <w:p w14:paraId="3461D779" w14:textId="1FA9BCE8" w:rsidR="00BE2F84" w:rsidRPr="00072027" w:rsidRDefault="764A4EAC" w:rsidP="0089744B">
            <w:pPr>
              <w:widowControl w:val="0"/>
            </w:pPr>
            <w:r>
              <w:t>Revolving fund activity directed by a particular faculty member or set of faculty members.</w:t>
            </w:r>
          </w:p>
        </w:tc>
      </w:tr>
      <w:tr w:rsidR="00BE2F84" w14:paraId="36221709" w14:textId="77777777" w:rsidTr="008A13B8">
        <w:tc>
          <w:tcPr>
            <w:tcW w:w="2115" w:type="dxa"/>
            <w:shd w:val="clear" w:color="auto" w:fill="auto"/>
          </w:tcPr>
          <w:p w14:paraId="60D9C6DA" w14:textId="77777777" w:rsidR="00BE2F84" w:rsidRPr="00072027" w:rsidRDefault="00BE2F84"/>
        </w:tc>
        <w:tc>
          <w:tcPr>
            <w:tcW w:w="1200" w:type="dxa"/>
            <w:shd w:val="clear" w:color="auto" w:fill="auto"/>
          </w:tcPr>
          <w:p w14:paraId="1DAE749C" w14:textId="478EBCF7" w:rsidR="00BE2F84" w:rsidRDefault="00BE2F84">
            <w:r>
              <w:t>245</w:t>
            </w:r>
          </w:p>
        </w:tc>
        <w:tc>
          <w:tcPr>
            <w:tcW w:w="0" w:type="dxa"/>
            <w:shd w:val="clear" w:color="auto" w:fill="auto"/>
          </w:tcPr>
          <w:p w14:paraId="48BC4F3A" w14:textId="797A66BC" w:rsidR="00BE2F84" w:rsidRDefault="00BE2F84">
            <w:r>
              <w:t>SOM – A</w:t>
            </w:r>
          </w:p>
        </w:tc>
        <w:tc>
          <w:tcPr>
            <w:tcW w:w="0" w:type="dxa"/>
            <w:shd w:val="clear" w:color="auto" w:fill="auto"/>
          </w:tcPr>
          <w:p w14:paraId="7B3833A4" w14:textId="0BB4283D" w:rsidR="00BE2F84" w:rsidRPr="00072027" w:rsidRDefault="764A4EAC" w:rsidP="0089744B">
            <w:pPr>
              <w:widowControl w:val="0"/>
            </w:pPr>
            <w:r>
              <w:t>For School of Medicine Clinical Departments, funds from the Medical Service Plan used to fund customary cost of practice expenses including, but not limited to, expenses relating to personnel, patient care, supplies, office supplies and clinical operations.</w:t>
            </w:r>
          </w:p>
        </w:tc>
      </w:tr>
      <w:tr w:rsidR="00BE2F84" w14:paraId="5D05EE2B" w14:textId="77777777" w:rsidTr="008A13B8">
        <w:tc>
          <w:tcPr>
            <w:tcW w:w="2115" w:type="dxa"/>
            <w:shd w:val="clear" w:color="auto" w:fill="auto"/>
          </w:tcPr>
          <w:p w14:paraId="229BCD4B" w14:textId="77777777" w:rsidR="00BE2F84" w:rsidRPr="00072027" w:rsidRDefault="00BE2F84"/>
        </w:tc>
        <w:tc>
          <w:tcPr>
            <w:tcW w:w="1200" w:type="dxa"/>
            <w:shd w:val="clear" w:color="auto" w:fill="auto"/>
          </w:tcPr>
          <w:p w14:paraId="4E1F7350" w14:textId="67C43FE4" w:rsidR="00BE2F84" w:rsidRDefault="00BE2F84">
            <w:r>
              <w:t>255</w:t>
            </w:r>
          </w:p>
        </w:tc>
        <w:tc>
          <w:tcPr>
            <w:tcW w:w="0" w:type="dxa"/>
            <w:shd w:val="clear" w:color="auto" w:fill="auto"/>
          </w:tcPr>
          <w:p w14:paraId="27979F54" w14:textId="6ED408EF" w:rsidR="00BE2F84" w:rsidRDefault="00BE2F84">
            <w:r>
              <w:t>SOM - B</w:t>
            </w:r>
          </w:p>
        </w:tc>
        <w:tc>
          <w:tcPr>
            <w:tcW w:w="0" w:type="dxa"/>
            <w:shd w:val="clear" w:color="auto" w:fill="auto"/>
          </w:tcPr>
          <w:p w14:paraId="7EC81621" w14:textId="63AAD4D9" w:rsidR="00BE2F84" w:rsidRPr="00072027" w:rsidRDefault="764A4EAC" w:rsidP="0089744B">
            <w:pPr>
              <w:widowControl w:val="0"/>
            </w:pPr>
            <w:r>
              <w:t xml:space="preserve">For School of Medicine Clinical Departments, funds from the Medical Service Plan used to support the </w:t>
            </w:r>
            <w:r>
              <w:lastRenderedPageBreak/>
              <w:t xml:space="preserve">department’ education, </w:t>
            </w:r>
            <w:proofErr w:type="gramStart"/>
            <w:r>
              <w:t>research</w:t>
            </w:r>
            <w:proofErr w:type="gramEnd"/>
            <w:r>
              <w:t xml:space="preserve"> and community service missions.</w:t>
            </w:r>
          </w:p>
        </w:tc>
      </w:tr>
      <w:tr w:rsidR="00BE2F84" w14:paraId="7E4BE209" w14:textId="77777777" w:rsidTr="008A13B8">
        <w:tc>
          <w:tcPr>
            <w:tcW w:w="2115" w:type="dxa"/>
            <w:shd w:val="clear" w:color="auto" w:fill="auto"/>
          </w:tcPr>
          <w:p w14:paraId="0562CB0E" w14:textId="77777777" w:rsidR="00BE2F84" w:rsidRDefault="00BE2F84"/>
        </w:tc>
        <w:tc>
          <w:tcPr>
            <w:tcW w:w="1200" w:type="dxa"/>
            <w:shd w:val="clear" w:color="auto" w:fill="auto"/>
          </w:tcPr>
          <w:p w14:paraId="1C683A8D" w14:textId="659A35A1" w:rsidR="00BE2F84" w:rsidRDefault="00BE2F84">
            <w:r>
              <w:t>265</w:t>
            </w:r>
          </w:p>
        </w:tc>
        <w:tc>
          <w:tcPr>
            <w:tcW w:w="0" w:type="dxa"/>
            <w:shd w:val="clear" w:color="auto" w:fill="auto"/>
          </w:tcPr>
          <w:p w14:paraId="1654A043" w14:textId="22EC483F" w:rsidR="00BE2F84" w:rsidRDefault="00BE2F84">
            <w:r>
              <w:t>Service Center Operating</w:t>
            </w:r>
          </w:p>
        </w:tc>
        <w:tc>
          <w:tcPr>
            <w:tcW w:w="0" w:type="dxa"/>
            <w:shd w:val="clear" w:color="auto" w:fill="auto"/>
          </w:tcPr>
          <w:p w14:paraId="4EF93C42" w14:textId="27B6D6CE" w:rsidR="00BE2F84" w:rsidRPr="00072027" w:rsidRDefault="764A4EAC" w:rsidP="764A4EAC">
            <w:pPr>
              <w:widowControl w:val="0"/>
              <w:rPr>
                <w:b/>
                <w:bCs/>
              </w:rPr>
            </w:pPr>
            <w:r>
              <w:t>A unit which provides and charges for a specific service(s) or product(s) to primarily internal users.</w:t>
            </w:r>
          </w:p>
        </w:tc>
      </w:tr>
      <w:tr w:rsidR="00BE2F84" w14:paraId="2715F83B" w14:textId="77777777" w:rsidTr="008A13B8">
        <w:tc>
          <w:tcPr>
            <w:tcW w:w="2115" w:type="dxa"/>
            <w:shd w:val="clear" w:color="auto" w:fill="auto"/>
          </w:tcPr>
          <w:p w14:paraId="34CE0A41" w14:textId="6F353C5B" w:rsidR="00BE2F84" w:rsidRDefault="00BE2F84"/>
        </w:tc>
        <w:tc>
          <w:tcPr>
            <w:tcW w:w="1200" w:type="dxa"/>
            <w:shd w:val="clear" w:color="auto" w:fill="auto"/>
          </w:tcPr>
          <w:p w14:paraId="734BF03F" w14:textId="5021BDD8" w:rsidR="00BE2F84" w:rsidRDefault="00BE2F84">
            <w:r>
              <w:t>275</w:t>
            </w:r>
          </w:p>
        </w:tc>
        <w:tc>
          <w:tcPr>
            <w:tcW w:w="0" w:type="dxa"/>
            <w:shd w:val="clear" w:color="auto" w:fill="auto"/>
          </w:tcPr>
          <w:p w14:paraId="4BBB8E39" w14:textId="08A570D0" w:rsidR="00BE2F84" w:rsidRDefault="00BE2F84">
            <w:r>
              <w:t>Service Center Equipment</w:t>
            </w:r>
          </w:p>
        </w:tc>
        <w:tc>
          <w:tcPr>
            <w:tcW w:w="0" w:type="dxa"/>
            <w:shd w:val="clear" w:color="auto" w:fill="auto"/>
          </w:tcPr>
          <w:p w14:paraId="62EBF3C5" w14:textId="79DC41AC" w:rsidR="00BE2F84" w:rsidRPr="00072027" w:rsidRDefault="764A4EAC" w:rsidP="0089744B">
            <w:pPr>
              <w:widowControl w:val="0"/>
            </w:pPr>
            <w:r>
              <w:t>Companion source to the service center operating source used to purchase capital equipment and hold equipment reserves generated from recording depreciation into the operating source.</w:t>
            </w:r>
          </w:p>
        </w:tc>
      </w:tr>
      <w:tr w:rsidR="00BE2F84" w14:paraId="6D5C23FE" w14:textId="77777777" w:rsidTr="008A13B8">
        <w:tc>
          <w:tcPr>
            <w:tcW w:w="0" w:type="dxa"/>
            <w:shd w:val="clear" w:color="auto" w:fill="F9DE3D"/>
          </w:tcPr>
          <w:p w14:paraId="6D98A12B" w14:textId="4E6DC929" w:rsidR="00BE2F84" w:rsidRPr="00BE2F84" w:rsidRDefault="00BE2F84">
            <w:pPr>
              <w:rPr>
                <w:b/>
              </w:rPr>
            </w:pPr>
            <w:r w:rsidRPr="00BE2F84">
              <w:rPr>
                <w:b/>
              </w:rPr>
              <w:t>Cost Share</w:t>
            </w:r>
          </w:p>
        </w:tc>
        <w:tc>
          <w:tcPr>
            <w:tcW w:w="0" w:type="dxa"/>
            <w:shd w:val="clear" w:color="auto" w:fill="F9DE3D"/>
          </w:tcPr>
          <w:p w14:paraId="58573FDA" w14:textId="5531D6B3" w:rsidR="00BE2F84" w:rsidRPr="00BE2F84" w:rsidRDefault="764A4EAC" w:rsidP="764A4EAC">
            <w:pPr>
              <w:spacing w:after="160" w:line="259" w:lineRule="auto"/>
              <w:rPr>
                <w:b/>
              </w:rPr>
            </w:pPr>
            <w:r w:rsidRPr="764A4EAC">
              <w:rPr>
                <w:b/>
                <w:bCs/>
              </w:rPr>
              <w:t>C28</w:t>
            </w:r>
          </w:p>
        </w:tc>
        <w:tc>
          <w:tcPr>
            <w:tcW w:w="2160" w:type="dxa"/>
            <w:shd w:val="clear" w:color="auto" w:fill="F9DE3D"/>
          </w:tcPr>
          <w:p w14:paraId="3A50620B" w14:textId="6594850F" w:rsidR="00BE2F84" w:rsidRDefault="00BE2F84"/>
        </w:tc>
        <w:tc>
          <w:tcPr>
            <w:tcW w:w="5360" w:type="dxa"/>
            <w:shd w:val="clear" w:color="auto" w:fill="F9DE3D"/>
          </w:tcPr>
          <w:p w14:paraId="2946DB82" w14:textId="50ADFDCD" w:rsidR="00BE2F84" w:rsidRPr="00072027" w:rsidRDefault="00BE2F84" w:rsidP="764A4EAC">
            <w:pPr>
              <w:widowControl w:val="0"/>
              <w:rPr>
                <w:b/>
                <w:bCs/>
              </w:rPr>
            </w:pPr>
          </w:p>
        </w:tc>
      </w:tr>
      <w:tr w:rsidR="00BE2F84" w14:paraId="79E78869" w14:textId="77777777" w:rsidTr="008A13B8">
        <w:tc>
          <w:tcPr>
            <w:tcW w:w="2115" w:type="dxa"/>
            <w:shd w:val="clear" w:color="auto" w:fill="auto"/>
          </w:tcPr>
          <w:p w14:paraId="5997CC1D" w14:textId="77777777" w:rsidR="00BE2F84" w:rsidRDefault="00BE2F84"/>
        </w:tc>
        <w:tc>
          <w:tcPr>
            <w:tcW w:w="1200" w:type="dxa"/>
            <w:shd w:val="clear" w:color="auto" w:fill="auto"/>
          </w:tcPr>
          <w:p w14:paraId="21B68167" w14:textId="6FC68E77" w:rsidR="00BE2F84" w:rsidRDefault="00BE2F84">
            <w:r>
              <w:t>285</w:t>
            </w:r>
          </w:p>
        </w:tc>
        <w:tc>
          <w:tcPr>
            <w:tcW w:w="0" w:type="dxa"/>
            <w:shd w:val="clear" w:color="auto" w:fill="auto"/>
          </w:tcPr>
          <w:p w14:paraId="50E65580" w14:textId="526B6CEF" w:rsidR="00BE2F84" w:rsidRDefault="00BE2F84" w:rsidP="00072027">
            <w:r>
              <w:t>Cost Share</w:t>
            </w:r>
          </w:p>
        </w:tc>
        <w:tc>
          <w:tcPr>
            <w:tcW w:w="0" w:type="dxa"/>
            <w:shd w:val="clear" w:color="auto" w:fill="auto"/>
          </w:tcPr>
          <w:p w14:paraId="110FFD37" w14:textId="51CDAA75" w:rsidR="00BE2F84" w:rsidRPr="00072027" w:rsidRDefault="00BB4F80" w:rsidP="0089744B">
            <w:pPr>
              <w:widowControl w:val="0"/>
            </w:pPr>
            <w:r>
              <w:t>The non</w:t>
            </w:r>
            <w:r w:rsidR="00AD63ED">
              <w:t>-</w:t>
            </w:r>
            <w:r>
              <w:t xml:space="preserve">sponsored sources </w:t>
            </w:r>
            <w:r w:rsidRPr="00BB4F80">
              <w:t xml:space="preserve">related to </w:t>
            </w:r>
            <w:r>
              <w:t xml:space="preserve">costs on </w:t>
            </w:r>
            <w:r w:rsidRPr="00BB4F80">
              <w:t>externally sponsored projects that are not funded by the sponsor but required by the sponsor as a term of the agreement</w:t>
            </w:r>
          </w:p>
        </w:tc>
      </w:tr>
      <w:tr w:rsidR="00BE2F84" w14:paraId="0A33BA65" w14:textId="77777777" w:rsidTr="008A13B8">
        <w:tc>
          <w:tcPr>
            <w:tcW w:w="0" w:type="dxa"/>
            <w:shd w:val="clear" w:color="auto" w:fill="F9DE3D"/>
          </w:tcPr>
          <w:p w14:paraId="4A718E0C" w14:textId="4F8ED91F" w:rsidR="00BE2F84" w:rsidRPr="00887FA3" w:rsidRDefault="00BA4DFB">
            <w:pPr>
              <w:rPr>
                <w:b/>
              </w:rPr>
            </w:pPr>
            <w:r>
              <w:rPr>
                <w:b/>
              </w:rPr>
              <w:t>Auxiliary</w:t>
            </w:r>
          </w:p>
        </w:tc>
        <w:tc>
          <w:tcPr>
            <w:tcW w:w="0" w:type="dxa"/>
            <w:shd w:val="clear" w:color="auto" w:fill="F9DE3D"/>
          </w:tcPr>
          <w:p w14:paraId="6B699379" w14:textId="0E2FF8F7" w:rsidR="00BE2F84" w:rsidRPr="00887FA3" w:rsidRDefault="764A4EAC" w:rsidP="764A4EAC">
            <w:pPr>
              <w:rPr>
                <w:b/>
                <w:bCs/>
              </w:rPr>
            </w:pPr>
            <w:r w:rsidRPr="764A4EAC">
              <w:rPr>
                <w:b/>
                <w:bCs/>
              </w:rPr>
              <w:t>C29</w:t>
            </w:r>
          </w:p>
        </w:tc>
        <w:tc>
          <w:tcPr>
            <w:tcW w:w="2160" w:type="dxa"/>
            <w:shd w:val="clear" w:color="auto" w:fill="F9DE3D"/>
          </w:tcPr>
          <w:p w14:paraId="3FE9F23F" w14:textId="3A9ADF91" w:rsidR="00BE2F84" w:rsidRPr="00887FA3" w:rsidRDefault="00BE2F84" w:rsidP="00072027">
            <w:pPr>
              <w:rPr>
                <w:b/>
              </w:rPr>
            </w:pPr>
          </w:p>
        </w:tc>
        <w:tc>
          <w:tcPr>
            <w:tcW w:w="5360" w:type="dxa"/>
            <w:shd w:val="clear" w:color="auto" w:fill="F9DE3D"/>
          </w:tcPr>
          <w:p w14:paraId="1F72F646" w14:textId="032564E8" w:rsidR="00BE2F84" w:rsidRPr="00887FA3" w:rsidRDefault="00BE2F84" w:rsidP="5E0EDAA6">
            <w:pPr>
              <w:widowControl w:val="0"/>
              <w:rPr>
                <w:b/>
                <w:bCs/>
              </w:rPr>
            </w:pPr>
          </w:p>
        </w:tc>
      </w:tr>
      <w:tr w:rsidR="00BE2F84" w14:paraId="46C81D57" w14:textId="77777777" w:rsidTr="008A13B8">
        <w:tc>
          <w:tcPr>
            <w:tcW w:w="2115" w:type="dxa"/>
            <w:shd w:val="clear" w:color="auto" w:fill="auto"/>
          </w:tcPr>
          <w:p w14:paraId="08CE6F91" w14:textId="77777777" w:rsidR="00BE2F84" w:rsidRDefault="00BE2F84"/>
        </w:tc>
        <w:tc>
          <w:tcPr>
            <w:tcW w:w="1200" w:type="dxa"/>
            <w:shd w:val="clear" w:color="auto" w:fill="auto"/>
          </w:tcPr>
          <w:p w14:paraId="2D94DAC2" w14:textId="5CC8C4F2" w:rsidR="00BE2F84" w:rsidRDefault="00BA4DFB">
            <w:r>
              <w:t>295</w:t>
            </w:r>
          </w:p>
        </w:tc>
        <w:tc>
          <w:tcPr>
            <w:tcW w:w="0" w:type="dxa"/>
            <w:shd w:val="clear" w:color="auto" w:fill="auto"/>
          </w:tcPr>
          <w:p w14:paraId="7217048E" w14:textId="158560B3" w:rsidR="00BE2F84" w:rsidRDefault="00BA4DFB" w:rsidP="00072027">
            <w:r>
              <w:t>Auxiliary Enterprise</w:t>
            </w:r>
          </w:p>
        </w:tc>
        <w:tc>
          <w:tcPr>
            <w:tcW w:w="0" w:type="dxa"/>
            <w:shd w:val="clear" w:color="auto" w:fill="auto"/>
          </w:tcPr>
          <w:p w14:paraId="61CDCEAD" w14:textId="4BA720E9" w:rsidR="00BE2F84" w:rsidRPr="00072027" w:rsidRDefault="00BB4F80" w:rsidP="0089744B">
            <w:pPr>
              <w:widowControl w:val="0"/>
            </w:pPr>
            <w:r>
              <w:t xml:space="preserve">Self-supporting activities that provide goods or services to students, </w:t>
            </w:r>
            <w:proofErr w:type="gramStart"/>
            <w:r>
              <w:t>faculty</w:t>
            </w:r>
            <w:proofErr w:type="gramEnd"/>
            <w:r>
              <w:t xml:space="preserve"> and staff for a fee</w:t>
            </w:r>
          </w:p>
        </w:tc>
      </w:tr>
      <w:tr w:rsidR="00BA4DFB" w14:paraId="0A45EF52" w14:textId="77777777" w:rsidTr="008A13B8">
        <w:tc>
          <w:tcPr>
            <w:tcW w:w="0" w:type="dxa"/>
            <w:shd w:val="clear" w:color="auto" w:fill="F9DE3D"/>
          </w:tcPr>
          <w:p w14:paraId="6BB9E253" w14:textId="18764913" w:rsidR="00BA4DFB" w:rsidRPr="00BA4DFB" w:rsidRDefault="764A4EAC" w:rsidP="764A4EAC">
            <w:pPr>
              <w:rPr>
                <w:b/>
                <w:bCs/>
              </w:rPr>
            </w:pPr>
            <w:r w:rsidRPr="764A4EAC">
              <w:rPr>
                <w:b/>
                <w:bCs/>
              </w:rPr>
              <w:t>Contracts and Grants</w:t>
            </w:r>
          </w:p>
        </w:tc>
        <w:tc>
          <w:tcPr>
            <w:tcW w:w="0" w:type="dxa"/>
            <w:shd w:val="clear" w:color="auto" w:fill="F9DE3D"/>
          </w:tcPr>
          <w:p w14:paraId="6BD5EF36" w14:textId="2A2AB4FC" w:rsidR="00BA4DFB" w:rsidRPr="00BA4DFB" w:rsidRDefault="764A4EAC" w:rsidP="764A4EAC">
            <w:pPr>
              <w:rPr>
                <w:b/>
                <w:bCs/>
              </w:rPr>
            </w:pPr>
            <w:r w:rsidRPr="764A4EAC">
              <w:rPr>
                <w:b/>
                <w:bCs/>
              </w:rPr>
              <w:t>C30</w:t>
            </w:r>
          </w:p>
        </w:tc>
        <w:tc>
          <w:tcPr>
            <w:tcW w:w="0" w:type="dxa"/>
            <w:shd w:val="clear" w:color="auto" w:fill="F9DE3D"/>
          </w:tcPr>
          <w:p w14:paraId="64D542E0" w14:textId="4B1942AA" w:rsidR="00BA4DFB" w:rsidRDefault="00BA4DFB" w:rsidP="00072027"/>
        </w:tc>
        <w:tc>
          <w:tcPr>
            <w:tcW w:w="0" w:type="dxa"/>
            <w:shd w:val="clear" w:color="auto" w:fill="F9DE3D"/>
          </w:tcPr>
          <w:p w14:paraId="23DE523C" w14:textId="10D5DACC" w:rsidR="00BA4DFB" w:rsidRPr="00072027" w:rsidRDefault="00BA4DFB" w:rsidP="764A4EAC">
            <w:pPr>
              <w:widowControl w:val="0"/>
              <w:rPr>
                <w:b/>
                <w:bCs/>
              </w:rPr>
            </w:pPr>
          </w:p>
        </w:tc>
      </w:tr>
      <w:tr w:rsidR="00BA4DFB" w14:paraId="5F02BE38" w14:textId="77777777" w:rsidTr="008A13B8">
        <w:tc>
          <w:tcPr>
            <w:tcW w:w="0" w:type="dxa"/>
            <w:shd w:val="clear" w:color="auto" w:fill="auto"/>
          </w:tcPr>
          <w:p w14:paraId="52E56223" w14:textId="4213D26B" w:rsidR="00BA4DFB" w:rsidRDefault="00BA4DFB"/>
        </w:tc>
        <w:tc>
          <w:tcPr>
            <w:tcW w:w="0" w:type="dxa"/>
            <w:shd w:val="clear" w:color="auto" w:fill="auto"/>
          </w:tcPr>
          <w:p w14:paraId="304789CA" w14:textId="758AF31C" w:rsidR="00BA4DFB" w:rsidRDefault="00BA4DFB">
            <w:r>
              <w:t>315</w:t>
            </w:r>
          </w:p>
        </w:tc>
        <w:tc>
          <w:tcPr>
            <w:tcW w:w="0" w:type="dxa"/>
            <w:shd w:val="clear" w:color="auto" w:fill="auto"/>
          </w:tcPr>
          <w:p w14:paraId="56874B45" w14:textId="5BFDBD27" w:rsidR="00BA4DFB" w:rsidRDefault="00BA4DFB" w:rsidP="00BA4DFB">
            <w:r>
              <w:t>C&amp;G – Federal</w:t>
            </w:r>
          </w:p>
        </w:tc>
        <w:tc>
          <w:tcPr>
            <w:tcW w:w="0" w:type="dxa"/>
            <w:shd w:val="clear" w:color="auto" w:fill="auto"/>
          </w:tcPr>
          <w:p w14:paraId="07547A01" w14:textId="68B339AE" w:rsidR="00BA4DFB" w:rsidRPr="00072027" w:rsidRDefault="764A4EAC" w:rsidP="0089744B">
            <w:pPr>
              <w:widowControl w:val="0"/>
            </w:pPr>
            <w:r>
              <w:t>Externally sponsored projects funded directly from a federal government agency</w:t>
            </w:r>
          </w:p>
        </w:tc>
      </w:tr>
      <w:tr w:rsidR="00BA4DFB" w14:paraId="26D21FFF" w14:textId="77777777" w:rsidTr="008A13B8">
        <w:tc>
          <w:tcPr>
            <w:tcW w:w="0" w:type="dxa"/>
            <w:shd w:val="clear" w:color="auto" w:fill="auto"/>
          </w:tcPr>
          <w:p w14:paraId="7FEA61D0" w14:textId="3D4D7A4C" w:rsidR="00BA4DFB" w:rsidRPr="00887FA3" w:rsidRDefault="00BA4DFB" w:rsidP="00072027">
            <w:pPr>
              <w:rPr>
                <w:b/>
              </w:rPr>
            </w:pPr>
          </w:p>
        </w:tc>
        <w:tc>
          <w:tcPr>
            <w:tcW w:w="0" w:type="dxa"/>
            <w:shd w:val="clear" w:color="auto" w:fill="auto"/>
          </w:tcPr>
          <w:p w14:paraId="6537F28F" w14:textId="6B0F56FD" w:rsidR="00BA4DFB" w:rsidRPr="00887FA3" w:rsidRDefault="00BA4DFB">
            <w:pPr>
              <w:rPr>
                <w:b/>
              </w:rPr>
            </w:pPr>
            <w:r>
              <w:t>335</w:t>
            </w:r>
          </w:p>
        </w:tc>
        <w:tc>
          <w:tcPr>
            <w:tcW w:w="0" w:type="dxa"/>
            <w:shd w:val="clear" w:color="auto" w:fill="auto"/>
          </w:tcPr>
          <w:p w14:paraId="6DFB9E20" w14:textId="2138E22A" w:rsidR="00BA4DFB" w:rsidRPr="00887FA3" w:rsidRDefault="00BA4DFB" w:rsidP="00072027">
            <w:pPr>
              <w:rPr>
                <w:b/>
              </w:rPr>
            </w:pPr>
            <w:r>
              <w:t>C&amp;G – State &amp; Local</w:t>
            </w:r>
          </w:p>
        </w:tc>
        <w:tc>
          <w:tcPr>
            <w:tcW w:w="0" w:type="dxa"/>
            <w:shd w:val="clear" w:color="auto" w:fill="auto"/>
          </w:tcPr>
          <w:p w14:paraId="70DF9E56" w14:textId="4C9CD9B1" w:rsidR="00BA4DFB" w:rsidRPr="00887FA3" w:rsidRDefault="764A4EAC" w:rsidP="00BB4F80">
            <w:pPr>
              <w:widowControl w:val="0"/>
            </w:pPr>
            <w:r>
              <w:t xml:space="preserve">Externally sponsored projects where the UMB sponsor is a state or local government </w:t>
            </w:r>
            <w:r w:rsidR="00BB4F80">
              <w:t xml:space="preserve">and </w:t>
            </w:r>
            <w:r>
              <w:t>that UMB sponsor is not passing down funds from a federal government agency</w:t>
            </w:r>
          </w:p>
        </w:tc>
      </w:tr>
      <w:tr w:rsidR="00BA4DFB" w14:paraId="58FA4B32" w14:textId="77777777" w:rsidTr="008A13B8">
        <w:tc>
          <w:tcPr>
            <w:tcW w:w="0" w:type="dxa"/>
            <w:shd w:val="clear" w:color="auto" w:fill="auto"/>
          </w:tcPr>
          <w:p w14:paraId="44E871BC" w14:textId="79D41437" w:rsidR="00BA4DFB" w:rsidRDefault="00BA4DFB" w:rsidP="00072027"/>
        </w:tc>
        <w:tc>
          <w:tcPr>
            <w:tcW w:w="0" w:type="dxa"/>
            <w:shd w:val="clear" w:color="auto" w:fill="auto"/>
          </w:tcPr>
          <w:p w14:paraId="71AFE04B" w14:textId="7A42FC8B" w:rsidR="00BA4DFB" w:rsidRDefault="00BA4DFB">
            <w:r>
              <w:t>345</w:t>
            </w:r>
          </w:p>
        </w:tc>
        <w:tc>
          <w:tcPr>
            <w:tcW w:w="0" w:type="dxa"/>
            <w:shd w:val="clear" w:color="auto" w:fill="auto"/>
          </w:tcPr>
          <w:p w14:paraId="0EE8CB0D" w14:textId="52E585FC" w:rsidR="00BA4DFB" w:rsidRDefault="00BA4DFB" w:rsidP="00072027">
            <w:r>
              <w:t>C&amp;G – State &amp; Local – Federal Prime</w:t>
            </w:r>
          </w:p>
        </w:tc>
        <w:tc>
          <w:tcPr>
            <w:tcW w:w="0" w:type="dxa"/>
            <w:shd w:val="clear" w:color="auto" w:fill="auto"/>
          </w:tcPr>
          <w:p w14:paraId="144A5D23" w14:textId="138F8A58" w:rsidR="00BA4DFB" w:rsidRPr="00072027" w:rsidRDefault="764A4EAC" w:rsidP="764A4EAC">
            <w:pPr>
              <w:widowControl w:val="0"/>
            </w:pPr>
            <w:r>
              <w:t>Externally sponsored projects where the UMB sponsor is a state or local government and that UMB sponsor is passing down funds from a federal government agency</w:t>
            </w:r>
          </w:p>
        </w:tc>
      </w:tr>
      <w:tr w:rsidR="00BA4DFB" w14:paraId="03D9C1B2" w14:textId="77777777" w:rsidTr="008A13B8">
        <w:tc>
          <w:tcPr>
            <w:tcW w:w="0" w:type="dxa"/>
            <w:shd w:val="clear" w:color="auto" w:fill="auto"/>
          </w:tcPr>
          <w:p w14:paraId="463F29E8" w14:textId="77777777" w:rsidR="00BA4DFB" w:rsidRDefault="00BA4DFB" w:rsidP="00072027"/>
        </w:tc>
        <w:tc>
          <w:tcPr>
            <w:tcW w:w="0" w:type="dxa"/>
            <w:shd w:val="clear" w:color="auto" w:fill="auto"/>
          </w:tcPr>
          <w:p w14:paraId="2D488A60" w14:textId="27BCDBCB" w:rsidR="00BA4DFB" w:rsidRDefault="00BA4DFB" w:rsidP="00BA4DFB">
            <w:r>
              <w:t>365</w:t>
            </w:r>
          </w:p>
        </w:tc>
        <w:tc>
          <w:tcPr>
            <w:tcW w:w="0" w:type="dxa"/>
            <w:shd w:val="clear" w:color="auto" w:fill="auto"/>
          </w:tcPr>
          <w:p w14:paraId="20A88270" w14:textId="66CCC95A" w:rsidR="00BA4DFB" w:rsidRDefault="00BA4DFB" w:rsidP="00072027">
            <w:r>
              <w:t>C&amp;G – Private</w:t>
            </w:r>
          </w:p>
        </w:tc>
        <w:tc>
          <w:tcPr>
            <w:tcW w:w="0" w:type="dxa"/>
            <w:shd w:val="clear" w:color="auto" w:fill="auto"/>
          </w:tcPr>
          <w:p w14:paraId="3B7B4B86" w14:textId="5C6D9F6D" w:rsidR="00BA4DFB" w:rsidRPr="00072027" w:rsidRDefault="764A4EAC" w:rsidP="0089744B">
            <w:pPr>
              <w:widowControl w:val="0"/>
            </w:pPr>
            <w:r>
              <w:t>Externally sponsored projects where the UMB sponsor is an entity other than a government entity in the United States and that UMB sponsor is not passing down funds from a federal government agency</w:t>
            </w:r>
          </w:p>
        </w:tc>
      </w:tr>
      <w:tr w:rsidR="00BA4DFB" w14:paraId="66329784" w14:textId="77777777" w:rsidTr="008A13B8">
        <w:tc>
          <w:tcPr>
            <w:tcW w:w="0" w:type="dxa"/>
            <w:shd w:val="clear" w:color="auto" w:fill="auto"/>
          </w:tcPr>
          <w:p w14:paraId="3A0FF5F2" w14:textId="39D166DE" w:rsidR="00BA4DFB" w:rsidRDefault="00BA4DFB" w:rsidP="00072027"/>
        </w:tc>
        <w:tc>
          <w:tcPr>
            <w:tcW w:w="0" w:type="dxa"/>
            <w:shd w:val="clear" w:color="auto" w:fill="auto"/>
          </w:tcPr>
          <w:p w14:paraId="315AC54B" w14:textId="3EDB57F2" w:rsidR="00BA4DFB" w:rsidRDefault="00BA4DFB">
            <w:r>
              <w:t>375</w:t>
            </w:r>
          </w:p>
        </w:tc>
        <w:tc>
          <w:tcPr>
            <w:tcW w:w="0" w:type="dxa"/>
            <w:shd w:val="clear" w:color="auto" w:fill="auto"/>
          </w:tcPr>
          <w:p w14:paraId="22563E61" w14:textId="67C7FF1F" w:rsidR="00BA4DFB" w:rsidRDefault="00BA4DFB" w:rsidP="00072027">
            <w:r>
              <w:t>C&amp;G – Private – Federal Prime</w:t>
            </w:r>
          </w:p>
        </w:tc>
        <w:tc>
          <w:tcPr>
            <w:tcW w:w="0" w:type="dxa"/>
            <w:shd w:val="clear" w:color="auto" w:fill="auto"/>
          </w:tcPr>
          <w:p w14:paraId="5630AD66" w14:textId="4B53780B" w:rsidR="00BA4DFB" w:rsidRPr="00072027" w:rsidRDefault="764A4EAC" w:rsidP="0089744B">
            <w:pPr>
              <w:widowControl w:val="0"/>
            </w:pPr>
            <w:r>
              <w:t>Externally sponsored projects where the UMB sponsor is an entity other than a government entity in the United States and that UMB sponsor is passing down funds from a federal government agency</w:t>
            </w:r>
          </w:p>
        </w:tc>
      </w:tr>
      <w:tr w:rsidR="00BA4DFB" w14:paraId="00794005" w14:textId="77777777" w:rsidTr="008A13B8">
        <w:tc>
          <w:tcPr>
            <w:tcW w:w="0" w:type="dxa"/>
            <w:shd w:val="clear" w:color="auto" w:fill="F9DE3D"/>
          </w:tcPr>
          <w:p w14:paraId="61829076" w14:textId="7257A6F5" w:rsidR="00BA4DFB" w:rsidRDefault="764A4EAC" w:rsidP="00072027">
            <w:r w:rsidRPr="764A4EAC">
              <w:rPr>
                <w:b/>
                <w:bCs/>
              </w:rPr>
              <w:t>Hospital Contracts</w:t>
            </w:r>
          </w:p>
        </w:tc>
        <w:tc>
          <w:tcPr>
            <w:tcW w:w="0" w:type="dxa"/>
            <w:shd w:val="clear" w:color="auto" w:fill="F9DE3D"/>
          </w:tcPr>
          <w:p w14:paraId="6ADE3D17" w14:textId="7C8D51DD" w:rsidR="00BA4DFB" w:rsidRDefault="764A4EAC">
            <w:r>
              <w:t>C40</w:t>
            </w:r>
          </w:p>
        </w:tc>
        <w:tc>
          <w:tcPr>
            <w:tcW w:w="0" w:type="dxa"/>
            <w:shd w:val="clear" w:color="auto" w:fill="F9DE3D"/>
          </w:tcPr>
          <w:p w14:paraId="2F66AFB6" w14:textId="4A681654" w:rsidR="00BA4DFB" w:rsidRDefault="00BA4DFB" w:rsidP="00072027"/>
        </w:tc>
        <w:tc>
          <w:tcPr>
            <w:tcW w:w="0" w:type="dxa"/>
            <w:shd w:val="clear" w:color="auto" w:fill="F9DE3D"/>
          </w:tcPr>
          <w:p w14:paraId="2BA226A1" w14:textId="77777777" w:rsidR="00BA4DFB" w:rsidRPr="00072027" w:rsidRDefault="00BA4DFB" w:rsidP="0089744B">
            <w:pPr>
              <w:widowControl w:val="0"/>
            </w:pPr>
          </w:p>
        </w:tc>
      </w:tr>
      <w:tr w:rsidR="00BA4DFB" w14:paraId="2A758087" w14:textId="77777777" w:rsidTr="008A13B8">
        <w:tc>
          <w:tcPr>
            <w:tcW w:w="0" w:type="dxa"/>
            <w:shd w:val="clear" w:color="auto" w:fill="auto"/>
          </w:tcPr>
          <w:p w14:paraId="17AD93B2" w14:textId="32DCC8E7" w:rsidR="00BA4DFB" w:rsidRDefault="00BA4DFB" w:rsidP="00072027"/>
        </w:tc>
        <w:tc>
          <w:tcPr>
            <w:tcW w:w="0" w:type="dxa"/>
            <w:shd w:val="clear" w:color="auto" w:fill="auto"/>
          </w:tcPr>
          <w:p w14:paraId="285187D6" w14:textId="7E0882BE" w:rsidR="00BA4DFB" w:rsidRDefault="00BA4DFB">
            <w:r>
              <w:t>405</w:t>
            </w:r>
          </w:p>
        </w:tc>
        <w:tc>
          <w:tcPr>
            <w:tcW w:w="0" w:type="dxa"/>
            <w:shd w:val="clear" w:color="auto" w:fill="auto"/>
          </w:tcPr>
          <w:p w14:paraId="71081B2A" w14:textId="226A1651" w:rsidR="00BA4DFB" w:rsidRDefault="00BA4DFB" w:rsidP="00072027">
            <w:r>
              <w:t>UMMC Contract – PSC</w:t>
            </w:r>
          </w:p>
        </w:tc>
        <w:tc>
          <w:tcPr>
            <w:tcW w:w="0" w:type="dxa"/>
            <w:shd w:val="clear" w:color="auto" w:fill="auto"/>
          </w:tcPr>
          <w:p w14:paraId="0DE4B5B7" w14:textId="2E45C8DD" w:rsidR="00BA4DFB" w:rsidRPr="00072027" w:rsidRDefault="00BB4F80" w:rsidP="00FC4A98">
            <w:pPr>
              <w:widowControl w:val="0"/>
            </w:pPr>
            <w:r>
              <w:t>The c</w:t>
            </w:r>
            <w:r w:rsidR="764A4EAC">
              <w:t>ontract with the University of Maryland Medical Center</w:t>
            </w:r>
            <w:r>
              <w:t xml:space="preserve"> for </w:t>
            </w:r>
            <w:r w:rsidR="00FC4A98">
              <w:t>p</w:t>
            </w:r>
            <w:r>
              <w:t xml:space="preserve">hysician </w:t>
            </w:r>
            <w:r w:rsidR="00FC4A98">
              <w:t>s</w:t>
            </w:r>
            <w:r>
              <w:t>ervices</w:t>
            </w:r>
          </w:p>
        </w:tc>
      </w:tr>
      <w:tr w:rsidR="00BA4DFB" w14:paraId="23A0C1A5" w14:textId="77777777" w:rsidTr="008A13B8">
        <w:tc>
          <w:tcPr>
            <w:tcW w:w="0" w:type="dxa"/>
            <w:shd w:val="clear" w:color="auto" w:fill="auto"/>
          </w:tcPr>
          <w:p w14:paraId="66204FF1" w14:textId="07614092" w:rsidR="00BA4DFB" w:rsidRDefault="00BA4DFB" w:rsidP="00072027"/>
        </w:tc>
        <w:tc>
          <w:tcPr>
            <w:tcW w:w="0" w:type="dxa"/>
            <w:shd w:val="clear" w:color="auto" w:fill="auto"/>
          </w:tcPr>
          <w:p w14:paraId="14E6C0BA" w14:textId="69EED520" w:rsidR="00BA4DFB" w:rsidRDefault="00BA4DFB">
            <w:r>
              <w:t>415</w:t>
            </w:r>
          </w:p>
        </w:tc>
        <w:tc>
          <w:tcPr>
            <w:tcW w:w="0" w:type="dxa"/>
            <w:shd w:val="clear" w:color="auto" w:fill="auto"/>
          </w:tcPr>
          <w:p w14:paraId="1E9C17D2" w14:textId="0E6262A6" w:rsidR="00BA4DFB" w:rsidRDefault="7A003A39" w:rsidP="00072027">
            <w:r>
              <w:t>UMMC Contract – Split Funded</w:t>
            </w:r>
          </w:p>
        </w:tc>
        <w:tc>
          <w:tcPr>
            <w:tcW w:w="0" w:type="dxa"/>
            <w:shd w:val="clear" w:color="auto" w:fill="auto"/>
          </w:tcPr>
          <w:p w14:paraId="2DBF0D7D" w14:textId="3ED3DA74" w:rsidR="00BA4DFB" w:rsidRPr="00072027" w:rsidRDefault="00BB4F80" w:rsidP="00BB4F80">
            <w:pPr>
              <w:widowControl w:val="0"/>
            </w:pPr>
            <w:r>
              <w:t>The contract with the University of Maryland Medical Center (UMMC) for e</w:t>
            </w:r>
            <w:r w:rsidR="764A4EAC">
              <w:t xml:space="preserve">xpenses related to employees shared by UMB and </w:t>
            </w:r>
            <w:r>
              <w:t>UMMC</w:t>
            </w:r>
          </w:p>
        </w:tc>
      </w:tr>
      <w:tr w:rsidR="00BA4DFB" w14:paraId="2C7B92A6" w14:textId="77777777" w:rsidTr="008A13B8">
        <w:tc>
          <w:tcPr>
            <w:tcW w:w="0" w:type="dxa"/>
            <w:shd w:val="clear" w:color="auto" w:fill="auto"/>
          </w:tcPr>
          <w:p w14:paraId="6B62F1B3" w14:textId="73721B80" w:rsidR="00BA4DFB" w:rsidRDefault="00BA4DFB" w:rsidP="00072027"/>
        </w:tc>
        <w:tc>
          <w:tcPr>
            <w:tcW w:w="0" w:type="dxa"/>
            <w:shd w:val="clear" w:color="auto" w:fill="auto"/>
          </w:tcPr>
          <w:p w14:paraId="1B4DAE9A" w14:textId="0188CD3A" w:rsidR="00BA4DFB" w:rsidRDefault="00BA4DFB">
            <w:r>
              <w:t>425</w:t>
            </w:r>
          </w:p>
        </w:tc>
        <w:tc>
          <w:tcPr>
            <w:tcW w:w="0" w:type="dxa"/>
            <w:shd w:val="clear" w:color="auto" w:fill="auto"/>
          </w:tcPr>
          <w:p w14:paraId="6F2D00ED" w14:textId="708C499D" w:rsidR="00BA4DFB" w:rsidRDefault="7A003A39" w:rsidP="00072027">
            <w:r>
              <w:t>UMROI Contract</w:t>
            </w:r>
          </w:p>
        </w:tc>
        <w:tc>
          <w:tcPr>
            <w:tcW w:w="0" w:type="dxa"/>
            <w:shd w:val="clear" w:color="auto" w:fill="auto"/>
          </w:tcPr>
          <w:p w14:paraId="02F2C34E" w14:textId="54B3A24B" w:rsidR="00BA4DFB" w:rsidRPr="00072027" w:rsidRDefault="00FC4A98" w:rsidP="00FC4A98">
            <w:pPr>
              <w:widowControl w:val="0"/>
            </w:pPr>
            <w:r>
              <w:t>The c</w:t>
            </w:r>
            <w:r w:rsidR="0F49F6F8">
              <w:t>ontract with the University of Maryland Rehabilitation and Orthopedic Institute</w:t>
            </w:r>
            <w:r>
              <w:t xml:space="preserve"> for physician services</w:t>
            </w:r>
          </w:p>
        </w:tc>
      </w:tr>
      <w:tr w:rsidR="00BA4DFB" w14:paraId="6711D1AD" w14:textId="77777777" w:rsidTr="008A13B8">
        <w:tc>
          <w:tcPr>
            <w:tcW w:w="0" w:type="dxa"/>
            <w:shd w:val="clear" w:color="auto" w:fill="auto"/>
          </w:tcPr>
          <w:p w14:paraId="5D334588" w14:textId="2626CCCC" w:rsidR="00BA4DFB" w:rsidRPr="00887FA3" w:rsidRDefault="00BA4DFB" w:rsidP="00072027">
            <w:pPr>
              <w:rPr>
                <w:b/>
              </w:rPr>
            </w:pPr>
          </w:p>
        </w:tc>
        <w:tc>
          <w:tcPr>
            <w:tcW w:w="0" w:type="dxa"/>
            <w:shd w:val="clear" w:color="auto" w:fill="auto"/>
          </w:tcPr>
          <w:p w14:paraId="680A4E5D" w14:textId="46500C39" w:rsidR="00BA4DFB" w:rsidRPr="00BA4DFB" w:rsidRDefault="00BA4DFB">
            <w:r w:rsidRPr="00BA4DFB">
              <w:t>435</w:t>
            </w:r>
          </w:p>
        </w:tc>
        <w:tc>
          <w:tcPr>
            <w:tcW w:w="0" w:type="dxa"/>
            <w:shd w:val="clear" w:color="auto" w:fill="auto"/>
          </w:tcPr>
          <w:p w14:paraId="19219836" w14:textId="3965F94C" w:rsidR="00BA4DFB" w:rsidRPr="00BA4DFB" w:rsidRDefault="7A003A39" w:rsidP="00072027">
            <w:r>
              <w:t>UMMC Mid-Town Contract</w:t>
            </w:r>
          </w:p>
        </w:tc>
        <w:tc>
          <w:tcPr>
            <w:tcW w:w="0" w:type="dxa"/>
            <w:shd w:val="clear" w:color="auto" w:fill="auto"/>
          </w:tcPr>
          <w:p w14:paraId="296FEF7D" w14:textId="05FDF23A" w:rsidR="00BA4DFB" w:rsidRPr="00887FA3" w:rsidRDefault="00FC4A98" w:rsidP="00FC4A98">
            <w:pPr>
              <w:widowControl w:val="0"/>
              <w:rPr>
                <w:b/>
                <w:bCs/>
              </w:rPr>
            </w:pPr>
            <w:r>
              <w:t>The c</w:t>
            </w:r>
            <w:r w:rsidR="764A4EAC">
              <w:t xml:space="preserve">ontract with the University of Maryland Medical Center - Mid-Town </w:t>
            </w:r>
            <w:r>
              <w:t>for physician services</w:t>
            </w:r>
          </w:p>
        </w:tc>
      </w:tr>
      <w:tr w:rsidR="00BA4DFB" w14:paraId="78A62691" w14:textId="77777777" w:rsidTr="008A13B8">
        <w:tc>
          <w:tcPr>
            <w:tcW w:w="0" w:type="dxa"/>
            <w:shd w:val="clear" w:color="auto" w:fill="auto"/>
          </w:tcPr>
          <w:p w14:paraId="7194DBDC" w14:textId="24C815BA" w:rsidR="00BA4DFB" w:rsidRDefault="00BA4DFB" w:rsidP="00072027"/>
        </w:tc>
        <w:tc>
          <w:tcPr>
            <w:tcW w:w="0" w:type="dxa"/>
            <w:shd w:val="clear" w:color="auto" w:fill="auto"/>
          </w:tcPr>
          <w:p w14:paraId="0503D019" w14:textId="3B89C7BA" w:rsidR="00BA4DFB" w:rsidRDefault="00BA4DFB">
            <w:r>
              <w:t>445</w:t>
            </w:r>
          </w:p>
        </w:tc>
        <w:tc>
          <w:tcPr>
            <w:tcW w:w="0" w:type="dxa"/>
            <w:shd w:val="clear" w:color="auto" w:fill="auto"/>
          </w:tcPr>
          <w:p w14:paraId="5692C28C" w14:textId="2FBFF01B" w:rsidR="00BA4DFB" w:rsidRDefault="00BA4DFB" w:rsidP="00072027">
            <w:r>
              <w:t>Other Hospital Contracts</w:t>
            </w:r>
          </w:p>
        </w:tc>
        <w:tc>
          <w:tcPr>
            <w:tcW w:w="0" w:type="dxa"/>
            <w:shd w:val="clear" w:color="auto" w:fill="auto"/>
          </w:tcPr>
          <w:p w14:paraId="769D0D3C" w14:textId="7A42427B" w:rsidR="00BA4DFB" w:rsidRPr="00072027" w:rsidRDefault="00FC4A98" w:rsidP="00FC4A98">
            <w:pPr>
              <w:widowControl w:val="0"/>
            </w:pPr>
            <w:r>
              <w:t>C</w:t>
            </w:r>
            <w:r w:rsidR="764A4EAC">
              <w:t>ontracts with other hospitals</w:t>
            </w:r>
            <w:r>
              <w:t xml:space="preserve"> for physician and other clinical services</w:t>
            </w:r>
          </w:p>
        </w:tc>
      </w:tr>
      <w:tr w:rsidR="00BA4DFB" w14:paraId="203A7108" w14:textId="77777777" w:rsidTr="008A13B8">
        <w:tc>
          <w:tcPr>
            <w:tcW w:w="0" w:type="dxa"/>
            <w:shd w:val="clear" w:color="auto" w:fill="F9DE3D"/>
          </w:tcPr>
          <w:p w14:paraId="54CD245A" w14:textId="716B04DC" w:rsidR="00BA4DFB" w:rsidRPr="00BA4DFB" w:rsidRDefault="00BA4DFB" w:rsidP="00072027">
            <w:pPr>
              <w:rPr>
                <w:b/>
              </w:rPr>
            </w:pPr>
            <w:r w:rsidRPr="00BA4DFB">
              <w:rPr>
                <w:b/>
              </w:rPr>
              <w:lastRenderedPageBreak/>
              <w:t xml:space="preserve">Other Restricted Funds </w:t>
            </w:r>
          </w:p>
        </w:tc>
        <w:tc>
          <w:tcPr>
            <w:tcW w:w="0" w:type="dxa"/>
            <w:shd w:val="clear" w:color="auto" w:fill="F9DE3D"/>
          </w:tcPr>
          <w:p w14:paraId="28B9E0E1" w14:textId="1C0E60C6" w:rsidR="00BA4DFB" w:rsidRPr="00BA4DFB" w:rsidRDefault="764A4EAC" w:rsidP="764A4EAC">
            <w:pPr>
              <w:rPr>
                <w:b/>
                <w:bCs/>
              </w:rPr>
            </w:pPr>
            <w:r w:rsidRPr="764A4EAC">
              <w:rPr>
                <w:b/>
                <w:bCs/>
              </w:rPr>
              <w:t>C50</w:t>
            </w:r>
          </w:p>
        </w:tc>
        <w:tc>
          <w:tcPr>
            <w:tcW w:w="0" w:type="dxa"/>
            <w:shd w:val="clear" w:color="auto" w:fill="F9DE3D"/>
          </w:tcPr>
          <w:p w14:paraId="1230DCD6" w14:textId="59D8875E" w:rsidR="00BA4DFB" w:rsidRPr="00BA4DFB" w:rsidRDefault="00BA4DFB" w:rsidP="00072027">
            <w:pPr>
              <w:rPr>
                <w:b/>
              </w:rPr>
            </w:pPr>
          </w:p>
        </w:tc>
        <w:tc>
          <w:tcPr>
            <w:tcW w:w="0" w:type="dxa"/>
            <w:shd w:val="clear" w:color="auto" w:fill="F9DE3D"/>
          </w:tcPr>
          <w:p w14:paraId="1231BE67" w14:textId="77777777" w:rsidR="00BA4DFB" w:rsidRPr="00BA4DFB" w:rsidRDefault="00BA4DFB" w:rsidP="0089744B">
            <w:pPr>
              <w:widowControl w:val="0"/>
              <w:rPr>
                <w:b/>
              </w:rPr>
            </w:pPr>
          </w:p>
        </w:tc>
      </w:tr>
      <w:tr w:rsidR="00BA4DFB" w14:paraId="53EA76AE" w14:textId="77777777" w:rsidTr="008A13B8">
        <w:tc>
          <w:tcPr>
            <w:tcW w:w="0" w:type="dxa"/>
            <w:shd w:val="clear" w:color="auto" w:fill="auto"/>
          </w:tcPr>
          <w:p w14:paraId="36FEB5B0" w14:textId="13FC9DC3" w:rsidR="00BA4DFB" w:rsidRDefault="00BA4DFB" w:rsidP="00072027"/>
        </w:tc>
        <w:tc>
          <w:tcPr>
            <w:tcW w:w="0" w:type="dxa"/>
            <w:shd w:val="clear" w:color="auto" w:fill="auto"/>
          </w:tcPr>
          <w:p w14:paraId="56871B55" w14:textId="592172DA" w:rsidR="00BA4DFB" w:rsidRDefault="00BA4DFB">
            <w:r>
              <w:t>505</w:t>
            </w:r>
          </w:p>
        </w:tc>
        <w:tc>
          <w:tcPr>
            <w:tcW w:w="0" w:type="dxa"/>
            <w:shd w:val="clear" w:color="auto" w:fill="auto"/>
          </w:tcPr>
          <w:p w14:paraId="13F868EA" w14:textId="733FEA29" w:rsidR="00BA4DFB" w:rsidRDefault="00BA4DFB" w:rsidP="00072027">
            <w:r>
              <w:t>UMB Foundation</w:t>
            </w:r>
          </w:p>
        </w:tc>
        <w:tc>
          <w:tcPr>
            <w:tcW w:w="0" w:type="dxa"/>
            <w:shd w:val="clear" w:color="auto" w:fill="auto"/>
          </w:tcPr>
          <w:p w14:paraId="30D7AA69" w14:textId="1EC85909" w:rsidR="00BA4DFB" w:rsidRPr="00072027" w:rsidRDefault="764A4EAC" w:rsidP="0089744B">
            <w:pPr>
              <w:widowControl w:val="0"/>
            </w:pPr>
            <w:r>
              <w:t>Restricted gifts and endowment income held by the UMB Foundation</w:t>
            </w:r>
          </w:p>
        </w:tc>
      </w:tr>
      <w:tr w:rsidR="00BA4DFB" w14:paraId="24C0BACB" w14:textId="77777777" w:rsidTr="008A13B8">
        <w:tc>
          <w:tcPr>
            <w:tcW w:w="0" w:type="dxa"/>
            <w:shd w:val="clear" w:color="auto" w:fill="auto"/>
          </w:tcPr>
          <w:p w14:paraId="7196D064" w14:textId="34B6FB93" w:rsidR="00BA4DFB" w:rsidRDefault="00BA4DFB" w:rsidP="00072027"/>
        </w:tc>
        <w:tc>
          <w:tcPr>
            <w:tcW w:w="0" w:type="dxa"/>
            <w:shd w:val="clear" w:color="auto" w:fill="auto"/>
          </w:tcPr>
          <w:p w14:paraId="4C020177" w14:textId="76072658" w:rsidR="00BA4DFB" w:rsidRDefault="00BA4DFB">
            <w:r>
              <w:t>515</w:t>
            </w:r>
          </w:p>
        </w:tc>
        <w:tc>
          <w:tcPr>
            <w:tcW w:w="0" w:type="dxa"/>
            <w:shd w:val="clear" w:color="auto" w:fill="auto"/>
          </w:tcPr>
          <w:p w14:paraId="2E309898" w14:textId="0B56FD20" w:rsidR="00BA4DFB" w:rsidRDefault="00BA4DFB" w:rsidP="00072027">
            <w:r>
              <w:t>USM Common Trust Fund</w:t>
            </w:r>
          </w:p>
        </w:tc>
        <w:tc>
          <w:tcPr>
            <w:tcW w:w="0" w:type="dxa"/>
            <w:shd w:val="clear" w:color="auto" w:fill="auto"/>
          </w:tcPr>
          <w:p w14:paraId="34FF1C98" w14:textId="1BFE8140" w:rsidR="00BA4DFB" w:rsidRPr="00072027" w:rsidRDefault="764A4EAC" w:rsidP="0089744B">
            <w:pPr>
              <w:widowControl w:val="0"/>
            </w:pPr>
            <w:r>
              <w:t>Restricted gifts and endowment income held by the USM Common Trust</w:t>
            </w:r>
          </w:p>
        </w:tc>
      </w:tr>
      <w:tr w:rsidR="00BA4DFB" w14:paraId="784F2988" w14:textId="77777777" w:rsidTr="008A13B8">
        <w:tc>
          <w:tcPr>
            <w:tcW w:w="0" w:type="dxa"/>
            <w:shd w:val="clear" w:color="auto" w:fill="auto"/>
          </w:tcPr>
          <w:p w14:paraId="6D072C0D" w14:textId="23B9CA67" w:rsidR="00BA4DFB" w:rsidRDefault="00BA4DFB" w:rsidP="00072027"/>
        </w:tc>
        <w:tc>
          <w:tcPr>
            <w:tcW w:w="0" w:type="dxa"/>
            <w:shd w:val="clear" w:color="auto" w:fill="auto"/>
          </w:tcPr>
          <w:p w14:paraId="74BE4B70" w14:textId="2339718B" w:rsidR="00BA4DFB" w:rsidRDefault="00BA4DFB">
            <w:r>
              <w:t>525</w:t>
            </w:r>
          </w:p>
        </w:tc>
        <w:tc>
          <w:tcPr>
            <w:tcW w:w="0" w:type="dxa"/>
            <w:shd w:val="clear" w:color="auto" w:fill="auto"/>
          </w:tcPr>
          <w:p w14:paraId="54DC64A4" w14:textId="6DC5AED2" w:rsidR="00BA4DFB" w:rsidRDefault="00BA4DFB" w:rsidP="00072027">
            <w:r>
              <w:t>USM Foundation</w:t>
            </w:r>
          </w:p>
        </w:tc>
        <w:tc>
          <w:tcPr>
            <w:tcW w:w="0" w:type="dxa"/>
            <w:shd w:val="clear" w:color="auto" w:fill="auto"/>
          </w:tcPr>
          <w:p w14:paraId="48A21919" w14:textId="57B299AA" w:rsidR="00BA4DFB" w:rsidRPr="00072027" w:rsidRDefault="764A4EAC" w:rsidP="0089744B">
            <w:pPr>
              <w:widowControl w:val="0"/>
            </w:pPr>
            <w:r>
              <w:t>Restricted gifts and endowment income held by the USM Foundation</w:t>
            </w:r>
          </w:p>
        </w:tc>
      </w:tr>
      <w:tr w:rsidR="00BA4DFB" w14:paraId="3EA625BC" w14:textId="77777777" w:rsidTr="008A13B8">
        <w:tc>
          <w:tcPr>
            <w:tcW w:w="0" w:type="dxa"/>
            <w:shd w:val="clear" w:color="auto" w:fill="auto"/>
          </w:tcPr>
          <w:p w14:paraId="5BD91A35" w14:textId="213694E7" w:rsidR="00BA4DFB" w:rsidRPr="00BA4DFB" w:rsidRDefault="00BA4DFB" w:rsidP="00072027"/>
        </w:tc>
        <w:tc>
          <w:tcPr>
            <w:tcW w:w="0" w:type="dxa"/>
            <w:shd w:val="clear" w:color="auto" w:fill="auto"/>
          </w:tcPr>
          <w:p w14:paraId="6BD18F9B" w14:textId="53D09983" w:rsidR="00BA4DFB" w:rsidRPr="00BA4DFB" w:rsidRDefault="00BA4DFB">
            <w:r w:rsidRPr="00BA4DFB">
              <w:t>535</w:t>
            </w:r>
          </w:p>
        </w:tc>
        <w:tc>
          <w:tcPr>
            <w:tcW w:w="0" w:type="dxa"/>
            <w:shd w:val="clear" w:color="auto" w:fill="auto"/>
          </w:tcPr>
          <w:p w14:paraId="238601FE" w14:textId="049E0DBC" w:rsidR="00BA4DFB" w:rsidRPr="00BA4DFB" w:rsidRDefault="00BA4DFB" w:rsidP="00072027">
            <w:r w:rsidRPr="00BA4DFB">
              <w:t>Other Restricted Funds</w:t>
            </w:r>
          </w:p>
        </w:tc>
        <w:tc>
          <w:tcPr>
            <w:tcW w:w="0" w:type="dxa"/>
            <w:shd w:val="clear" w:color="auto" w:fill="auto"/>
          </w:tcPr>
          <w:p w14:paraId="0F3CABC7" w14:textId="3D3E619A" w:rsidR="00BA4DFB" w:rsidRPr="00BA4DFB" w:rsidRDefault="764A4EAC" w:rsidP="0089744B">
            <w:pPr>
              <w:widowControl w:val="0"/>
            </w:pPr>
            <w:r>
              <w:t>Other restricted funds not appropriately classified in any other source</w:t>
            </w:r>
          </w:p>
        </w:tc>
      </w:tr>
      <w:tr w:rsidR="78E0FE07" w14:paraId="486080F8" w14:textId="77777777" w:rsidTr="008A13B8">
        <w:tc>
          <w:tcPr>
            <w:tcW w:w="0" w:type="dxa"/>
            <w:shd w:val="clear" w:color="auto" w:fill="auto"/>
          </w:tcPr>
          <w:p w14:paraId="1BB6FF83" w14:textId="4E05CAF6" w:rsidR="78E0FE07" w:rsidRDefault="78E0FE07"/>
        </w:tc>
        <w:tc>
          <w:tcPr>
            <w:tcW w:w="0" w:type="dxa"/>
            <w:shd w:val="clear" w:color="auto" w:fill="auto"/>
          </w:tcPr>
          <w:p w14:paraId="39F5A5FC" w14:textId="16CC860C" w:rsidR="78E0FE07" w:rsidRDefault="78E0FE07">
            <w:r>
              <w:t>5</w:t>
            </w:r>
            <w:r w:rsidR="1ABE9976">
              <w:t>45</w:t>
            </w:r>
          </w:p>
        </w:tc>
        <w:tc>
          <w:tcPr>
            <w:tcW w:w="0" w:type="dxa"/>
            <w:shd w:val="clear" w:color="auto" w:fill="auto"/>
          </w:tcPr>
          <w:p w14:paraId="0F194B44" w14:textId="404D89B9" w:rsidR="78E0FE07" w:rsidRDefault="1ABE9976">
            <w:r>
              <w:t>UM TOTE</w:t>
            </w:r>
          </w:p>
        </w:tc>
        <w:tc>
          <w:tcPr>
            <w:tcW w:w="0" w:type="dxa"/>
            <w:shd w:val="clear" w:color="auto" w:fill="auto"/>
          </w:tcPr>
          <w:p w14:paraId="36C4A9FF" w14:textId="256D1491" w:rsidR="78E0FE07" w:rsidRDefault="1ABE9976">
            <w:r>
              <w:t xml:space="preserve">Restricted gifts and endowment income held by the </w:t>
            </w:r>
            <w:r w:rsidR="3744845B">
              <w:t>UM Trustee</w:t>
            </w:r>
            <w:r w:rsidR="1BC606FF">
              <w:t>s of the Endowment</w:t>
            </w:r>
          </w:p>
        </w:tc>
      </w:tr>
      <w:tr w:rsidR="00BA4DFB" w14:paraId="5A650955" w14:textId="77777777" w:rsidTr="008A13B8">
        <w:tc>
          <w:tcPr>
            <w:tcW w:w="0" w:type="dxa"/>
            <w:shd w:val="clear" w:color="auto" w:fill="auto"/>
          </w:tcPr>
          <w:p w14:paraId="0AD9C6F4" w14:textId="7930FFBD" w:rsidR="00BA4DFB" w:rsidRDefault="00BA4DFB" w:rsidP="00072027"/>
        </w:tc>
        <w:tc>
          <w:tcPr>
            <w:tcW w:w="0" w:type="dxa"/>
            <w:shd w:val="clear" w:color="auto" w:fill="auto"/>
          </w:tcPr>
          <w:p w14:paraId="064B8AE0" w14:textId="4A7736F2" w:rsidR="00BA4DFB" w:rsidRDefault="008529D1">
            <w:r>
              <w:t>605</w:t>
            </w:r>
          </w:p>
        </w:tc>
        <w:tc>
          <w:tcPr>
            <w:tcW w:w="0" w:type="dxa"/>
            <w:shd w:val="clear" w:color="auto" w:fill="auto"/>
          </w:tcPr>
          <w:p w14:paraId="6A22D15C" w14:textId="3ABF4FB4" w:rsidR="00BA4DFB" w:rsidRDefault="7A003A39" w:rsidP="00072027">
            <w:r>
              <w:t>College Work Study</w:t>
            </w:r>
          </w:p>
        </w:tc>
        <w:tc>
          <w:tcPr>
            <w:tcW w:w="0" w:type="dxa"/>
            <w:shd w:val="clear" w:color="auto" w:fill="auto"/>
          </w:tcPr>
          <w:p w14:paraId="4B1F511A" w14:textId="122E7556" w:rsidR="00BA4DFB" w:rsidRPr="00072027" w:rsidRDefault="764A4EAC" w:rsidP="0089744B">
            <w:pPr>
              <w:widowControl w:val="0"/>
            </w:pPr>
            <w:r>
              <w:t>Student aid from the federal college work study program</w:t>
            </w:r>
          </w:p>
        </w:tc>
      </w:tr>
      <w:tr w:rsidR="00BA4DFB" w14:paraId="3801F2DF" w14:textId="77777777" w:rsidTr="008A13B8">
        <w:tc>
          <w:tcPr>
            <w:tcW w:w="0" w:type="dxa"/>
            <w:shd w:val="clear" w:color="auto" w:fill="auto"/>
          </w:tcPr>
          <w:p w14:paraId="65F9C3DC" w14:textId="0139AA99" w:rsidR="00BA4DFB" w:rsidRDefault="00BA4DFB" w:rsidP="00072027"/>
        </w:tc>
        <w:tc>
          <w:tcPr>
            <w:tcW w:w="0" w:type="dxa"/>
            <w:shd w:val="clear" w:color="auto" w:fill="auto"/>
          </w:tcPr>
          <w:p w14:paraId="2CAFE0AE" w14:textId="0B8FE3BC" w:rsidR="00BA4DFB" w:rsidRDefault="008529D1">
            <w:r>
              <w:t>615</w:t>
            </w:r>
          </w:p>
        </w:tc>
        <w:tc>
          <w:tcPr>
            <w:tcW w:w="0" w:type="dxa"/>
            <w:shd w:val="clear" w:color="auto" w:fill="auto"/>
          </w:tcPr>
          <w:p w14:paraId="1B9635BF" w14:textId="2AADBFEB" w:rsidR="00BA4DFB" w:rsidRDefault="7A003A39" w:rsidP="00072027">
            <w:r>
              <w:t>Federal Pell Grants</w:t>
            </w:r>
          </w:p>
        </w:tc>
        <w:tc>
          <w:tcPr>
            <w:tcW w:w="0" w:type="dxa"/>
            <w:shd w:val="clear" w:color="auto" w:fill="auto"/>
          </w:tcPr>
          <w:p w14:paraId="5023141B" w14:textId="15B87FD2" w:rsidR="00BA4DFB" w:rsidRPr="00072027" w:rsidRDefault="764A4EAC" w:rsidP="0089744B">
            <w:pPr>
              <w:widowControl w:val="0"/>
            </w:pPr>
            <w:r>
              <w:t>Student aid from the Federal Pell grants program</w:t>
            </w:r>
          </w:p>
        </w:tc>
      </w:tr>
      <w:tr w:rsidR="7A003A39" w14:paraId="391909BF" w14:textId="77777777" w:rsidTr="008A13B8">
        <w:tc>
          <w:tcPr>
            <w:tcW w:w="0" w:type="dxa"/>
            <w:shd w:val="clear" w:color="auto" w:fill="auto"/>
          </w:tcPr>
          <w:p w14:paraId="373FFCD5" w14:textId="555E256E" w:rsidR="7A003A39" w:rsidRDefault="7A003A39" w:rsidP="7A003A39"/>
        </w:tc>
        <w:tc>
          <w:tcPr>
            <w:tcW w:w="0" w:type="dxa"/>
            <w:shd w:val="clear" w:color="auto" w:fill="auto"/>
          </w:tcPr>
          <w:p w14:paraId="5985410A" w14:textId="3DA0A4AA" w:rsidR="7A003A39" w:rsidRDefault="7A003A39" w:rsidP="7A003A39">
            <w:r>
              <w:t>625</w:t>
            </w:r>
          </w:p>
        </w:tc>
        <w:tc>
          <w:tcPr>
            <w:tcW w:w="0" w:type="dxa"/>
            <w:shd w:val="clear" w:color="auto" w:fill="auto"/>
          </w:tcPr>
          <w:p w14:paraId="66C9C7B5" w14:textId="0A0EED65" w:rsidR="7A003A39" w:rsidRDefault="7A003A39" w:rsidP="7A003A39">
            <w:r>
              <w:t>Federal SEOG Grants</w:t>
            </w:r>
          </w:p>
        </w:tc>
        <w:tc>
          <w:tcPr>
            <w:tcW w:w="0" w:type="dxa"/>
            <w:shd w:val="clear" w:color="auto" w:fill="auto"/>
          </w:tcPr>
          <w:p w14:paraId="5F8079CE" w14:textId="1370829D" w:rsidR="7A003A39" w:rsidRDefault="764A4EAC" w:rsidP="7A003A39">
            <w:r>
              <w:t>Student aid from the Federal SEOG grants program</w:t>
            </w:r>
          </w:p>
        </w:tc>
      </w:tr>
      <w:tr w:rsidR="00BA4DFB" w14:paraId="0A8A841C" w14:textId="77777777" w:rsidTr="008A13B8">
        <w:tc>
          <w:tcPr>
            <w:tcW w:w="0" w:type="dxa"/>
            <w:shd w:val="clear" w:color="auto" w:fill="auto"/>
          </w:tcPr>
          <w:p w14:paraId="1F3B1409" w14:textId="3FFF4138" w:rsidR="00BA4DFB" w:rsidRDefault="00BA4DFB" w:rsidP="00072027"/>
        </w:tc>
        <w:tc>
          <w:tcPr>
            <w:tcW w:w="0" w:type="dxa"/>
            <w:shd w:val="clear" w:color="auto" w:fill="auto"/>
          </w:tcPr>
          <w:p w14:paraId="19B958E6" w14:textId="5AFD575A" w:rsidR="00BA4DFB" w:rsidRDefault="00C51164" w:rsidP="00C51164">
            <w:r>
              <w:t>655</w:t>
            </w:r>
          </w:p>
        </w:tc>
        <w:tc>
          <w:tcPr>
            <w:tcW w:w="0" w:type="dxa"/>
            <w:shd w:val="clear" w:color="auto" w:fill="auto"/>
          </w:tcPr>
          <w:p w14:paraId="3B73993D" w14:textId="400374A1" w:rsidR="00BA4DFB" w:rsidRDefault="4CB64C0E" w:rsidP="7A003A39">
            <w:pPr>
              <w:spacing w:after="160" w:line="259" w:lineRule="auto"/>
            </w:pPr>
            <w:r>
              <w:t>MD State Scholarships</w:t>
            </w:r>
          </w:p>
        </w:tc>
        <w:tc>
          <w:tcPr>
            <w:tcW w:w="0" w:type="dxa"/>
            <w:shd w:val="clear" w:color="auto" w:fill="auto"/>
          </w:tcPr>
          <w:p w14:paraId="562C75D1" w14:textId="413E938F" w:rsidR="00BA4DFB" w:rsidRPr="00072027" w:rsidRDefault="764A4EAC" w:rsidP="0089744B">
            <w:pPr>
              <w:widowControl w:val="0"/>
            </w:pPr>
            <w:r>
              <w:t xml:space="preserve">Student aid </w:t>
            </w:r>
            <w:r w:rsidR="70F1BDF7">
              <w:t xml:space="preserve">programs funded </w:t>
            </w:r>
            <w:r>
              <w:t>from the State of Maryland</w:t>
            </w:r>
          </w:p>
        </w:tc>
      </w:tr>
      <w:tr w:rsidR="00BA4DFB" w14:paraId="35BC6595" w14:textId="77777777" w:rsidTr="008A13B8">
        <w:tc>
          <w:tcPr>
            <w:tcW w:w="0" w:type="dxa"/>
            <w:shd w:val="clear" w:color="auto" w:fill="F9DE3D"/>
          </w:tcPr>
          <w:p w14:paraId="7DF4E37C" w14:textId="41108331" w:rsidR="00BA4DFB" w:rsidRPr="008529D1" w:rsidRDefault="008529D1" w:rsidP="00072027">
            <w:pPr>
              <w:rPr>
                <w:b/>
              </w:rPr>
            </w:pPr>
            <w:r>
              <w:rPr>
                <w:b/>
              </w:rPr>
              <w:t>Loan Funds</w:t>
            </w:r>
          </w:p>
        </w:tc>
        <w:tc>
          <w:tcPr>
            <w:tcW w:w="0" w:type="dxa"/>
            <w:shd w:val="clear" w:color="auto" w:fill="F9DE3D"/>
          </w:tcPr>
          <w:p w14:paraId="7F0C9526" w14:textId="56A32E50" w:rsidR="00BA4DFB" w:rsidRPr="008529D1" w:rsidRDefault="764A4EAC" w:rsidP="764A4EAC">
            <w:pPr>
              <w:rPr>
                <w:b/>
                <w:bCs/>
              </w:rPr>
            </w:pPr>
            <w:r w:rsidRPr="764A4EAC">
              <w:rPr>
                <w:b/>
                <w:bCs/>
              </w:rPr>
              <w:t>C70</w:t>
            </w:r>
          </w:p>
        </w:tc>
        <w:tc>
          <w:tcPr>
            <w:tcW w:w="0" w:type="dxa"/>
            <w:shd w:val="clear" w:color="auto" w:fill="F9DE3D"/>
          </w:tcPr>
          <w:p w14:paraId="075A4B7C" w14:textId="47C6AFCD" w:rsidR="00BA4DFB" w:rsidRPr="008529D1" w:rsidRDefault="00BA4DFB" w:rsidP="00072027">
            <w:pPr>
              <w:rPr>
                <w:b/>
              </w:rPr>
            </w:pPr>
          </w:p>
        </w:tc>
        <w:tc>
          <w:tcPr>
            <w:tcW w:w="0" w:type="dxa"/>
            <w:shd w:val="clear" w:color="auto" w:fill="F9DE3D"/>
          </w:tcPr>
          <w:p w14:paraId="44FB30F8" w14:textId="77777777" w:rsidR="00BA4DFB" w:rsidRPr="008529D1" w:rsidRDefault="00BA4DFB" w:rsidP="0089744B">
            <w:pPr>
              <w:widowControl w:val="0"/>
              <w:rPr>
                <w:b/>
              </w:rPr>
            </w:pPr>
          </w:p>
        </w:tc>
      </w:tr>
      <w:tr w:rsidR="00BA4DFB" w14:paraId="2778B67C" w14:textId="77777777" w:rsidTr="008A13B8">
        <w:tc>
          <w:tcPr>
            <w:tcW w:w="0" w:type="dxa"/>
            <w:shd w:val="clear" w:color="auto" w:fill="auto"/>
          </w:tcPr>
          <w:p w14:paraId="1DA6542E" w14:textId="0B54AE10" w:rsidR="00BA4DFB" w:rsidRDefault="00BA4DFB" w:rsidP="00072027"/>
        </w:tc>
        <w:tc>
          <w:tcPr>
            <w:tcW w:w="0" w:type="dxa"/>
            <w:shd w:val="clear" w:color="auto" w:fill="auto"/>
          </w:tcPr>
          <w:p w14:paraId="78611C7A" w14:textId="767FF573" w:rsidR="00BA4DFB" w:rsidRDefault="008529D1">
            <w:r>
              <w:t>705</w:t>
            </w:r>
          </w:p>
        </w:tc>
        <w:tc>
          <w:tcPr>
            <w:tcW w:w="0" w:type="dxa"/>
            <w:shd w:val="clear" w:color="auto" w:fill="auto"/>
          </w:tcPr>
          <w:p w14:paraId="05E250AE" w14:textId="25F84586" w:rsidR="00BA4DFB" w:rsidRDefault="008529D1" w:rsidP="00072027">
            <w:r>
              <w:t>Federal Loan Funds</w:t>
            </w:r>
          </w:p>
        </w:tc>
        <w:tc>
          <w:tcPr>
            <w:tcW w:w="0" w:type="dxa"/>
            <w:shd w:val="clear" w:color="auto" w:fill="auto"/>
          </w:tcPr>
          <w:p w14:paraId="3041E394" w14:textId="1BDC409A" w:rsidR="00BA4DFB" w:rsidRPr="00072027" w:rsidRDefault="5E0EDAA6" w:rsidP="0089744B">
            <w:pPr>
              <w:widowControl w:val="0"/>
            </w:pPr>
            <w:r>
              <w:t>Perkins, Nursing, Health Professions, Primary Care Loans</w:t>
            </w:r>
          </w:p>
        </w:tc>
      </w:tr>
      <w:tr w:rsidR="00BA4DFB" w14:paraId="74FFC278" w14:textId="77777777" w:rsidTr="008A13B8">
        <w:tc>
          <w:tcPr>
            <w:tcW w:w="0" w:type="dxa"/>
            <w:shd w:val="clear" w:color="auto" w:fill="auto"/>
          </w:tcPr>
          <w:p w14:paraId="722B00AE" w14:textId="77777777" w:rsidR="00BA4DFB" w:rsidRDefault="00BA4DFB" w:rsidP="00072027"/>
        </w:tc>
        <w:tc>
          <w:tcPr>
            <w:tcW w:w="0" w:type="dxa"/>
            <w:shd w:val="clear" w:color="auto" w:fill="auto"/>
          </w:tcPr>
          <w:p w14:paraId="4D871C12" w14:textId="408FEC30" w:rsidR="00BA4DFB" w:rsidRDefault="008529D1">
            <w:r>
              <w:t>715</w:t>
            </w:r>
          </w:p>
        </w:tc>
        <w:tc>
          <w:tcPr>
            <w:tcW w:w="0" w:type="dxa"/>
            <w:shd w:val="clear" w:color="auto" w:fill="auto"/>
          </w:tcPr>
          <w:p w14:paraId="044DC8E4" w14:textId="6C64C45A" w:rsidR="00BA4DFB" w:rsidRDefault="008529D1" w:rsidP="00072027">
            <w:r>
              <w:t>Other Loan Funds</w:t>
            </w:r>
          </w:p>
        </w:tc>
        <w:tc>
          <w:tcPr>
            <w:tcW w:w="0" w:type="dxa"/>
            <w:shd w:val="clear" w:color="auto" w:fill="auto"/>
          </w:tcPr>
          <w:p w14:paraId="42C6D796" w14:textId="4B84E86E" w:rsidR="00BA4DFB" w:rsidRPr="00072027" w:rsidRDefault="00C51164" w:rsidP="0089744B">
            <w:pPr>
              <w:widowControl w:val="0"/>
            </w:pPr>
            <w:r>
              <w:t xml:space="preserve">State and </w:t>
            </w:r>
            <w:r w:rsidR="764A4EAC">
              <w:t>Private donor student loan programs</w:t>
            </w:r>
          </w:p>
        </w:tc>
      </w:tr>
      <w:tr w:rsidR="7A003A39" w14:paraId="382C22F8" w14:textId="77777777" w:rsidTr="008A13B8">
        <w:tc>
          <w:tcPr>
            <w:tcW w:w="0" w:type="dxa"/>
            <w:shd w:val="clear" w:color="auto" w:fill="auto"/>
          </w:tcPr>
          <w:p w14:paraId="1D0A6114" w14:textId="14C2AF7F" w:rsidR="7A003A39" w:rsidRDefault="7A003A39" w:rsidP="7A003A39"/>
        </w:tc>
        <w:tc>
          <w:tcPr>
            <w:tcW w:w="0" w:type="dxa"/>
            <w:shd w:val="clear" w:color="auto" w:fill="auto"/>
          </w:tcPr>
          <w:p w14:paraId="1ECD502C" w14:textId="50DF0586" w:rsidR="7A003A39" w:rsidRDefault="7A003A39" w:rsidP="7A003A39">
            <w:r>
              <w:t>725</w:t>
            </w:r>
          </w:p>
        </w:tc>
        <w:tc>
          <w:tcPr>
            <w:tcW w:w="0" w:type="dxa"/>
            <w:shd w:val="clear" w:color="auto" w:fill="auto"/>
          </w:tcPr>
          <w:p w14:paraId="3FFA296A" w14:textId="3DB67E84" w:rsidR="7A003A39" w:rsidRDefault="7A003A39" w:rsidP="7A003A39">
            <w:r>
              <w:t>Common Trust Loan Funds</w:t>
            </w:r>
          </w:p>
        </w:tc>
        <w:tc>
          <w:tcPr>
            <w:tcW w:w="0" w:type="dxa"/>
            <w:shd w:val="clear" w:color="auto" w:fill="auto"/>
          </w:tcPr>
          <w:p w14:paraId="481777E1" w14:textId="7DE6D863" w:rsidR="7A003A39" w:rsidRDefault="764A4EAC" w:rsidP="7A003A39">
            <w:r>
              <w:t>Loan programs from the USM Common Trust</w:t>
            </w:r>
          </w:p>
        </w:tc>
      </w:tr>
      <w:tr w:rsidR="008529D1" w14:paraId="2145C4BF" w14:textId="77777777" w:rsidTr="008A13B8">
        <w:tc>
          <w:tcPr>
            <w:tcW w:w="0" w:type="dxa"/>
            <w:shd w:val="clear" w:color="auto" w:fill="F9DE3D"/>
          </w:tcPr>
          <w:p w14:paraId="16528364" w14:textId="42BC4006" w:rsidR="00BA4DFB" w:rsidRPr="008529D1" w:rsidRDefault="008529D1" w:rsidP="00072027">
            <w:pPr>
              <w:rPr>
                <w:b/>
              </w:rPr>
            </w:pPr>
            <w:r w:rsidRPr="008529D1">
              <w:rPr>
                <w:b/>
              </w:rPr>
              <w:t>Endowment Funds</w:t>
            </w:r>
          </w:p>
        </w:tc>
        <w:tc>
          <w:tcPr>
            <w:tcW w:w="0" w:type="dxa"/>
            <w:shd w:val="clear" w:color="auto" w:fill="F9DE3D"/>
          </w:tcPr>
          <w:p w14:paraId="6E1831B3" w14:textId="04381CFE" w:rsidR="00BA4DFB" w:rsidRPr="008529D1" w:rsidRDefault="764A4EAC" w:rsidP="764A4EAC">
            <w:pPr>
              <w:rPr>
                <w:b/>
                <w:bCs/>
              </w:rPr>
            </w:pPr>
            <w:r w:rsidRPr="764A4EAC">
              <w:rPr>
                <w:b/>
                <w:bCs/>
              </w:rPr>
              <w:t>C80</w:t>
            </w:r>
          </w:p>
        </w:tc>
        <w:tc>
          <w:tcPr>
            <w:tcW w:w="0" w:type="dxa"/>
            <w:shd w:val="clear" w:color="auto" w:fill="F9DE3D"/>
          </w:tcPr>
          <w:p w14:paraId="54E11D2A" w14:textId="03248696" w:rsidR="00BA4DFB" w:rsidRPr="008529D1" w:rsidRDefault="00BA4DFB" w:rsidP="00072027">
            <w:pPr>
              <w:rPr>
                <w:b/>
              </w:rPr>
            </w:pPr>
          </w:p>
        </w:tc>
        <w:tc>
          <w:tcPr>
            <w:tcW w:w="0" w:type="dxa"/>
            <w:shd w:val="clear" w:color="auto" w:fill="F9DE3D"/>
          </w:tcPr>
          <w:p w14:paraId="31126E5D" w14:textId="2102CEF6" w:rsidR="00BA4DFB" w:rsidRPr="008529D1" w:rsidRDefault="00BA4DFB" w:rsidP="764A4EAC">
            <w:pPr>
              <w:widowControl w:val="0"/>
              <w:rPr>
                <w:b/>
                <w:bCs/>
              </w:rPr>
            </w:pPr>
          </w:p>
        </w:tc>
      </w:tr>
      <w:tr w:rsidR="00BA4DFB" w14:paraId="220967DC" w14:textId="77777777" w:rsidTr="008A13B8">
        <w:tc>
          <w:tcPr>
            <w:tcW w:w="0" w:type="dxa"/>
            <w:shd w:val="clear" w:color="auto" w:fill="auto"/>
          </w:tcPr>
          <w:p w14:paraId="2DE403A5" w14:textId="2B4BCBEF" w:rsidR="00BA4DFB" w:rsidRDefault="00BA4DFB" w:rsidP="00072027"/>
        </w:tc>
        <w:tc>
          <w:tcPr>
            <w:tcW w:w="0" w:type="dxa"/>
            <w:shd w:val="clear" w:color="auto" w:fill="auto"/>
          </w:tcPr>
          <w:p w14:paraId="1D4CEF85" w14:textId="1C411E7B" w:rsidR="00BA4DFB" w:rsidRDefault="008529D1">
            <w:r>
              <w:t>805</w:t>
            </w:r>
          </w:p>
        </w:tc>
        <w:tc>
          <w:tcPr>
            <w:tcW w:w="0" w:type="dxa"/>
            <w:shd w:val="clear" w:color="auto" w:fill="auto"/>
          </w:tcPr>
          <w:p w14:paraId="6B3CC875" w14:textId="093B0FBB" w:rsidR="00BA4DFB" w:rsidRDefault="008529D1" w:rsidP="00072027">
            <w:r>
              <w:t>USM Endowment</w:t>
            </w:r>
          </w:p>
        </w:tc>
        <w:tc>
          <w:tcPr>
            <w:tcW w:w="0" w:type="dxa"/>
            <w:shd w:val="clear" w:color="auto" w:fill="auto"/>
          </w:tcPr>
          <w:p w14:paraId="62431CDC" w14:textId="25E49B43" w:rsidR="00BA4DFB" w:rsidRPr="00072027" w:rsidRDefault="764A4EAC" w:rsidP="0089744B">
            <w:pPr>
              <w:widowControl w:val="0"/>
            </w:pPr>
            <w:r>
              <w:t>For GAAP purposes only.  Endowment assets held by the USM on behalf of UMB.</w:t>
            </w:r>
          </w:p>
        </w:tc>
      </w:tr>
      <w:tr w:rsidR="00BA4DFB" w14:paraId="162355DA" w14:textId="77777777" w:rsidTr="008A13B8">
        <w:tc>
          <w:tcPr>
            <w:tcW w:w="0" w:type="dxa"/>
            <w:shd w:val="clear" w:color="auto" w:fill="F9DE3D"/>
          </w:tcPr>
          <w:p w14:paraId="49E398E2" w14:textId="598EE444" w:rsidR="00BA4DFB" w:rsidRPr="008529D1" w:rsidRDefault="764A4EAC" w:rsidP="764A4EAC">
            <w:pPr>
              <w:rPr>
                <w:b/>
                <w:bCs/>
              </w:rPr>
            </w:pPr>
            <w:r w:rsidRPr="764A4EAC">
              <w:rPr>
                <w:b/>
                <w:bCs/>
              </w:rPr>
              <w:t>Plant Funds</w:t>
            </w:r>
          </w:p>
        </w:tc>
        <w:tc>
          <w:tcPr>
            <w:tcW w:w="0" w:type="dxa"/>
            <w:shd w:val="clear" w:color="auto" w:fill="F9DE3D"/>
          </w:tcPr>
          <w:p w14:paraId="107A41D6" w14:textId="317C7675" w:rsidR="00BA4DFB" w:rsidRPr="008529D1" w:rsidRDefault="764A4EAC" w:rsidP="764A4EAC">
            <w:pPr>
              <w:rPr>
                <w:b/>
                <w:bCs/>
              </w:rPr>
            </w:pPr>
            <w:r w:rsidRPr="764A4EAC">
              <w:rPr>
                <w:b/>
                <w:bCs/>
              </w:rPr>
              <w:t>C90</w:t>
            </w:r>
          </w:p>
        </w:tc>
        <w:tc>
          <w:tcPr>
            <w:tcW w:w="0" w:type="dxa"/>
            <w:shd w:val="clear" w:color="auto" w:fill="F9DE3D"/>
          </w:tcPr>
          <w:p w14:paraId="7E931921" w14:textId="1CF5ECFF" w:rsidR="00BA4DFB" w:rsidRPr="008529D1" w:rsidRDefault="00BA4DFB" w:rsidP="00072027">
            <w:pPr>
              <w:rPr>
                <w:b/>
              </w:rPr>
            </w:pPr>
          </w:p>
        </w:tc>
        <w:tc>
          <w:tcPr>
            <w:tcW w:w="0" w:type="dxa"/>
            <w:shd w:val="clear" w:color="auto" w:fill="F9DE3D"/>
          </w:tcPr>
          <w:p w14:paraId="16287F21" w14:textId="77777777" w:rsidR="00BA4DFB" w:rsidRPr="008529D1" w:rsidRDefault="00BA4DFB" w:rsidP="0089744B">
            <w:pPr>
              <w:widowControl w:val="0"/>
              <w:rPr>
                <w:b/>
              </w:rPr>
            </w:pPr>
          </w:p>
        </w:tc>
      </w:tr>
      <w:tr w:rsidR="00BA4DFB" w14:paraId="5B08B30D" w14:textId="77777777" w:rsidTr="008A13B8">
        <w:tc>
          <w:tcPr>
            <w:tcW w:w="0" w:type="dxa"/>
            <w:shd w:val="clear" w:color="auto" w:fill="auto"/>
          </w:tcPr>
          <w:p w14:paraId="73EC0404" w14:textId="682A9DB7" w:rsidR="00BA4DFB" w:rsidRPr="008529D1" w:rsidRDefault="00BA4DFB" w:rsidP="00072027"/>
        </w:tc>
        <w:tc>
          <w:tcPr>
            <w:tcW w:w="0" w:type="dxa"/>
            <w:shd w:val="clear" w:color="auto" w:fill="auto"/>
          </w:tcPr>
          <w:p w14:paraId="5BE93A62" w14:textId="159B10E2" w:rsidR="00BA4DFB" w:rsidRPr="008529D1" w:rsidRDefault="008529D1">
            <w:r w:rsidRPr="008529D1">
              <w:t>905</w:t>
            </w:r>
          </w:p>
        </w:tc>
        <w:tc>
          <w:tcPr>
            <w:tcW w:w="0" w:type="dxa"/>
            <w:shd w:val="clear" w:color="auto" w:fill="auto"/>
          </w:tcPr>
          <w:p w14:paraId="384BA73E" w14:textId="78E36F70" w:rsidR="00BA4DFB" w:rsidRPr="008529D1" w:rsidRDefault="008529D1" w:rsidP="00072027">
            <w:r w:rsidRPr="008529D1">
              <w:t>MCCBL</w:t>
            </w:r>
          </w:p>
        </w:tc>
        <w:tc>
          <w:tcPr>
            <w:tcW w:w="0" w:type="dxa"/>
            <w:shd w:val="clear" w:color="auto" w:fill="auto"/>
          </w:tcPr>
          <w:p w14:paraId="34B3F2EB" w14:textId="217CF09D" w:rsidR="00BA4DFB" w:rsidRPr="00887FA3" w:rsidRDefault="7A003A39" w:rsidP="006A47CE">
            <w:pPr>
              <w:widowControl w:val="0"/>
            </w:pPr>
            <w:r>
              <w:t>Maryland Consolidated Capital Bond Loans.  Funds are requested by a state senator, delegate, or the governor for a specific project and must be approved by legislation</w:t>
            </w:r>
          </w:p>
        </w:tc>
      </w:tr>
      <w:tr w:rsidR="00BA4DFB" w14:paraId="11BE0D48" w14:textId="77777777" w:rsidTr="008A13B8">
        <w:tc>
          <w:tcPr>
            <w:tcW w:w="0" w:type="dxa"/>
            <w:shd w:val="clear" w:color="auto" w:fill="auto"/>
          </w:tcPr>
          <w:p w14:paraId="7D34F5C7" w14:textId="77777777" w:rsidR="00BA4DFB" w:rsidRDefault="00BA4DFB" w:rsidP="00072027"/>
        </w:tc>
        <w:tc>
          <w:tcPr>
            <w:tcW w:w="0" w:type="dxa"/>
            <w:shd w:val="clear" w:color="auto" w:fill="auto"/>
          </w:tcPr>
          <w:p w14:paraId="195C3865" w14:textId="48370483" w:rsidR="00BA4DFB" w:rsidRDefault="008529D1">
            <w:r>
              <w:t>915</w:t>
            </w:r>
          </w:p>
        </w:tc>
        <w:tc>
          <w:tcPr>
            <w:tcW w:w="0" w:type="dxa"/>
            <w:shd w:val="clear" w:color="auto" w:fill="auto"/>
          </w:tcPr>
          <w:p w14:paraId="19A4FC1F" w14:textId="01B4F3EE" w:rsidR="00BA4DFB" w:rsidRDefault="008529D1" w:rsidP="00072027">
            <w:r>
              <w:t>ARB</w:t>
            </w:r>
          </w:p>
        </w:tc>
        <w:tc>
          <w:tcPr>
            <w:tcW w:w="0" w:type="dxa"/>
            <w:shd w:val="clear" w:color="auto" w:fill="auto"/>
          </w:tcPr>
          <w:p w14:paraId="0B4020A7" w14:textId="2A1A0315" w:rsidR="00BA4DFB" w:rsidRPr="00072027" w:rsidRDefault="764A4EAC" w:rsidP="0089744B">
            <w:pPr>
              <w:widowControl w:val="0"/>
            </w:pPr>
            <w:r>
              <w:t>Academic Revenue Bonds.  These funds must be specifically appropriated.</w:t>
            </w:r>
          </w:p>
        </w:tc>
      </w:tr>
      <w:tr w:rsidR="00BA4DFB" w14:paraId="11072B5A" w14:textId="77777777" w:rsidTr="008A13B8">
        <w:tc>
          <w:tcPr>
            <w:tcW w:w="0" w:type="dxa"/>
            <w:shd w:val="clear" w:color="auto" w:fill="auto"/>
          </w:tcPr>
          <w:p w14:paraId="06971CD3" w14:textId="53918A34" w:rsidR="00BA4DFB" w:rsidRDefault="00BA4DFB" w:rsidP="00072027"/>
        </w:tc>
        <w:tc>
          <w:tcPr>
            <w:tcW w:w="0" w:type="dxa"/>
            <w:shd w:val="clear" w:color="auto" w:fill="auto"/>
          </w:tcPr>
          <w:p w14:paraId="41014875" w14:textId="7F50BBEA" w:rsidR="00BA4DFB" w:rsidRDefault="008529D1">
            <w:r>
              <w:t>955</w:t>
            </w:r>
          </w:p>
        </w:tc>
        <w:tc>
          <w:tcPr>
            <w:tcW w:w="0" w:type="dxa"/>
            <w:shd w:val="clear" w:color="auto" w:fill="auto"/>
          </w:tcPr>
          <w:p w14:paraId="24ABA307" w14:textId="5745FBF0" w:rsidR="00BA4DFB" w:rsidRDefault="008529D1" w:rsidP="00072027">
            <w:r>
              <w:t>Facility Renewal</w:t>
            </w:r>
          </w:p>
        </w:tc>
        <w:tc>
          <w:tcPr>
            <w:tcW w:w="0" w:type="dxa"/>
            <w:shd w:val="clear" w:color="auto" w:fill="auto"/>
          </w:tcPr>
          <w:p w14:paraId="2A1F701D" w14:textId="33D71BAF" w:rsidR="00BA4DFB" w:rsidRPr="00072027" w:rsidRDefault="764A4EAC" w:rsidP="0089744B">
            <w:pPr>
              <w:widowControl w:val="0"/>
            </w:pPr>
            <w:r>
              <w:t>Funding and expenditures for facility upgrades and enhancements including major renovation or equipment upgrades</w:t>
            </w:r>
          </w:p>
        </w:tc>
      </w:tr>
      <w:tr w:rsidR="00BA4DFB" w14:paraId="59EA49D0" w14:textId="77777777" w:rsidTr="008A13B8">
        <w:tc>
          <w:tcPr>
            <w:tcW w:w="0" w:type="dxa"/>
            <w:shd w:val="clear" w:color="auto" w:fill="auto"/>
          </w:tcPr>
          <w:p w14:paraId="03EFCA41" w14:textId="77777777" w:rsidR="00BA4DFB" w:rsidRDefault="00BA4DFB" w:rsidP="00072027"/>
        </w:tc>
        <w:tc>
          <w:tcPr>
            <w:tcW w:w="0" w:type="dxa"/>
            <w:shd w:val="clear" w:color="auto" w:fill="auto"/>
          </w:tcPr>
          <w:p w14:paraId="03E44DE4" w14:textId="32DF10D0" w:rsidR="00BA4DFB" w:rsidRDefault="008529D1">
            <w:r>
              <w:t>965</w:t>
            </w:r>
          </w:p>
        </w:tc>
        <w:tc>
          <w:tcPr>
            <w:tcW w:w="0" w:type="dxa"/>
            <w:shd w:val="clear" w:color="auto" w:fill="auto"/>
          </w:tcPr>
          <w:p w14:paraId="0E880DDA" w14:textId="3294C13F" w:rsidR="00BA4DFB" w:rsidRDefault="008529D1" w:rsidP="00072027">
            <w:r>
              <w:t>Deferred Maintenance</w:t>
            </w:r>
          </w:p>
        </w:tc>
        <w:tc>
          <w:tcPr>
            <w:tcW w:w="0" w:type="dxa"/>
            <w:shd w:val="clear" w:color="auto" w:fill="auto"/>
          </w:tcPr>
          <w:p w14:paraId="5F96A722" w14:textId="2F0A73B3" w:rsidR="00BA4DFB" w:rsidRPr="00072027" w:rsidRDefault="764A4EAC" w:rsidP="0089744B">
            <w:pPr>
              <w:widowControl w:val="0"/>
            </w:pPr>
            <w:r>
              <w:t>Funding and expenditures for maintenance to buildings and facilities and includes both campus beautification and safety &amp; security</w:t>
            </w:r>
          </w:p>
        </w:tc>
      </w:tr>
      <w:tr w:rsidR="00BA4DFB" w14:paraId="13A3FF7E" w14:textId="77777777" w:rsidTr="008A13B8">
        <w:tc>
          <w:tcPr>
            <w:tcW w:w="0" w:type="dxa"/>
            <w:shd w:val="clear" w:color="auto" w:fill="auto"/>
          </w:tcPr>
          <w:p w14:paraId="53303E72" w14:textId="269F1BC3" w:rsidR="00BA4DFB" w:rsidRPr="008529D1" w:rsidRDefault="00BA4DFB" w:rsidP="00072027"/>
        </w:tc>
        <w:tc>
          <w:tcPr>
            <w:tcW w:w="0" w:type="dxa"/>
            <w:shd w:val="clear" w:color="auto" w:fill="auto"/>
          </w:tcPr>
          <w:p w14:paraId="5B95CD12" w14:textId="0FC664E2" w:rsidR="00BA4DFB" w:rsidRPr="008529D1" w:rsidRDefault="008529D1">
            <w:r w:rsidRPr="008529D1">
              <w:t>975</w:t>
            </w:r>
          </w:p>
        </w:tc>
        <w:tc>
          <w:tcPr>
            <w:tcW w:w="0" w:type="dxa"/>
            <w:shd w:val="clear" w:color="auto" w:fill="auto"/>
          </w:tcPr>
          <w:p w14:paraId="5220BBB2" w14:textId="4918E128" w:rsidR="00BA4DFB" w:rsidRPr="008529D1" w:rsidRDefault="008529D1" w:rsidP="00072027">
            <w:r w:rsidRPr="008529D1">
              <w:t>Project Accounting</w:t>
            </w:r>
          </w:p>
        </w:tc>
        <w:tc>
          <w:tcPr>
            <w:tcW w:w="0" w:type="dxa"/>
            <w:shd w:val="clear" w:color="auto" w:fill="auto"/>
          </w:tcPr>
          <w:p w14:paraId="13CB595B" w14:textId="59EECDAA" w:rsidR="00BA4DFB" w:rsidRPr="008529D1" w:rsidRDefault="764A4EAC" w:rsidP="0089744B">
            <w:pPr>
              <w:widowControl w:val="0"/>
            </w:pPr>
            <w:r>
              <w:t xml:space="preserve">Funding and expenditures for various projects around campus – from renovating office or lab space to replacing generators or fire alarms.  </w:t>
            </w:r>
          </w:p>
        </w:tc>
      </w:tr>
      <w:tr w:rsidR="00BA4DFB" w14:paraId="41E670E1" w14:textId="77777777" w:rsidTr="008A13B8">
        <w:tc>
          <w:tcPr>
            <w:tcW w:w="0" w:type="dxa"/>
            <w:shd w:val="clear" w:color="auto" w:fill="auto"/>
          </w:tcPr>
          <w:p w14:paraId="6D9C8D39" w14:textId="77777777" w:rsidR="00BA4DFB" w:rsidRDefault="00BA4DFB" w:rsidP="00072027"/>
        </w:tc>
        <w:tc>
          <w:tcPr>
            <w:tcW w:w="0" w:type="dxa"/>
            <w:shd w:val="clear" w:color="auto" w:fill="auto"/>
          </w:tcPr>
          <w:p w14:paraId="60CFEC77" w14:textId="4C8C372B" w:rsidR="00BA4DFB" w:rsidRDefault="00BA4DFB"/>
        </w:tc>
        <w:tc>
          <w:tcPr>
            <w:tcW w:w="0" w:type="dxa"/>
            <w:shd w:val="clear" w:color="auto" w:fill="auto"/>
          </w:tcPr>
          <w:p w14:paraId="36059329" w14:textId="6F23D416" w:rsidR="00BA4DFB" w:rsidRDefault="00BA4DFB" w:rsidP="00072027"/>
        </w:tc>
        <w:tc>
          <w:tcPr>
            <w:tcW w:w="0" w:type="dxa"/>
            <w:shd w:val="clear" w:color="auto" w:fill="auto"/>
          </w:tcPr>
          <w:p w14:paraId="675E05EE" w14:textId="77777777" w:rsidR="00BA4DFB" w:rsidRPr="00072027" w:rsidRDefault="00BA4DFB" w:rsidP="0089744B">
            <w:pPr>
              <w:widowControl w:val="0"/>
            </w:pPr>
          </w:p>
        </w:tc>
      </w:tr>
      <w:tr w:rsidR="00BA4DFB" w14:paraId="27833AE2" w14:textId="77777777" w:rsidTr="008A13B8">
        <w:tc>
          <w:tcPr>
            <w:tcW w:w="0" w:type="dxa"/>
            <w:shd w:val="clear" w:color="auto" w:fill="auto"/>
          </w:tcPr>
          <w:p w14:paraId="2FC17F8B" w14:textId="77777777" w:rsidR="00BA4DFB" w:rsidRDefault="00BA4DFB" w:rsidP="00072027"/>
        </w:tc>
        <w:tc>
          <w:tcPr>
            <w:tcW w:w="0" w:type="dxa"/>
            <w:shd w:val="clear" w:color="auto" w:fill="auto"/>
          </w:tcPr>
          <w:p w14:paraId="23B5DDDC" w14:textId="76A72685" w:rsidR="00BA4DFB" w:rsidRDefault="00BA4DFB"/>
        </w:tc>
        <w:tc>
          <w:tcPr>
            <w:tcW w:w="0" w:type="dxa"/>
            <w:shd w:val="clear" w:color="auto" w:fill="auto"/>
          </w:tcPr>
          <w:p w14:paraId="0C22C5D7" w14:textId="3A2D4B1B" w:rsidR="00BA4DFB" w:rsidRDefault="00BA4DFB" w:rsidP="00072027"/>
        </w:tc>
        <w:tc>
          <w:tcPr>
            <w:tcW w:w="0" w:type="dxa"/>
            <w:shd w:val="clear" w:color="auto" w:fill="auto"/>
          </w:tcPr>
          <w:p w14:paraId="0A4F7224" w14:textId="77777777" w:rsidR="00BA4DFB" w:rsidRPr="00072027" w:rsidRDefault="00BA4DFB" w:rsidP="0089744B">
            <w:pPr>
              <w:widowControl w:val="0"/>
            </w:pPr>
          </w:p>
        </w:tc>
      </w:tr>
    </w:tbl>
    <w:p w14:paraId="5AE48A43" w14:textId="77777777" w:rsidR="0089744B" w:rsidRDefault="0089744B"/>
    <w:sectPr w:rsidR="0089744B" w:rsidSect="007B677C">
      <w:headerReference w:type="default" r:id="rId10"/>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CF5E" w14:textId="77777777" w:rsidR="007B677C" w:rsidRDefault="007B677C" w:rsidP="0089744B">
      <w:pPr>
        <w:spacing w:after="0" w:line="240" w:lineRule="auto"/>
      </w:pPr>
      <w:r>
        <w:separator/>
      </w:r>
    </w:p>
  </w:endnote>
  <w:endnote w:type="continuationSeparator" w:id="0">
    <w:p w14:paraId="16439F4D" w14:textId="77777777" w:rsidR="007B677C" w:rsidRDefault="007B677C" w:rsidP="0089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BD2D" w14:textId="77777777" w:rsidR="007B677C" w:rsidRDefault="007B677C" w:rsidP="0089744B">
      <w:pPr>
        <w:spacing w:after="0" w:line="240" w:lineRule="auto"/>
      </w:pPr>
      <w:r>
        <w:separator/>
      </w:r>
    </w:p>
  </w:footnote>
  <w:footnote w:type="continuationSeparator" w:id="0">
    <w:p w14:paraId="373042E2" w14:textId="77777777" w:rsidR="007B677C" w:rsidRDefault="007B677C" w:rsidP="0089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A025" w14:textId="77777777" w:rsidR="0089744B" w:rsidRDefault="0089744B">
    <w:pPr>
      <w:pStyle w:val="Heade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3AF3EF02" wp14:editId="026F390E">
          <wp:simplePos x="0" y="0"/>
          <wp:positionH relativeFrom="column">
            <wp:posOffset>-142875</wp:posOffset>
          </wp:positionH>
          <wp:positionV relativeFrom="paragraph">
            <wp:posOffset>-439420</wp:posOffset>
          </wp:positionV>
          <wp:extent cx="1946275" cy="862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275" cy="862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4B"/>
    <w:rsid w:val="000117C0"/>
    <w:rsid w:val="00065C75"/>
    <w:rsid w:val="000676D7"/>
    <w:rsid w:val="00072027"/>
    <w:rsid w:val="000E1A5B"/>
    <w:rsid w:val="00133546"/>
    <w:rsid w:val="002656F5"/>
    <w:rsid w:val="00461F51"/>
    <w:rsid w:val="005016EF"/>
    <w:rsid w:val="005A075D"/>
    <w:rsid w:val="005C4CF9"/>
    <w:rsid w:val="00656E23"/>
    <w:rsid w:val="006A47CE"/>
    <w:rsid w:val="006D06C4"/>
    <w:rsid w:val="007B677C"/>
    <w:rsid w:val="007E30D3"/>
    <w:rsid w:val="007E7F5F"/>
    <w:rsid w:val="00803765"/>
    <w:rsid w:val="008529D1"/>
    <w:rsid w:val="00887FA3"/>
    <w:rsid w:val="0089744B"/>
    <w:rsid w:val="008A13B8"/>
    <w:rsid w:val="009A6377"/>
    <w:rsid w:val="009E5551"/>
    <w:rsid w:val="00AD63ED"/>
    <w:rsid w:val="00AF0D1C"/>
    <w:rsid w:val="00B248FA"/>
    <w:rsid w:val="00BA4DFB"/>
    <w:rsid w:val="00BB4F80"/>
    <w:rsid w:val="00BE2F84"/>
    <w:rsid w:val="00C208F8"/>
    <w:rsid w:val="00C51164"/>
    <w:rsid w:val="00D24899"/>
    <w:rsid w:val="00D72EA5"/>
    <w:rsid w:val="00DC55A0"/>
    <w:rsid w:val="00DD3EB8"/>
    <w:rsid w:val="00E10085"/>
    <w:rsid w:val="00E61ADB"/>
    <w:rsid w:val="00FC4A98"/>
    <w:rsid w:val="0F49F6F8"/>
    <w:rsid w:val="1ABE9976"/>
    <w:rsid w:val="1BC606FF"/>
    <w:rsid w:val="1FEB81AF"/>
    <w:rsid w:val="2726AC2D"/>
    <w:rsid w:val="3744845B"/>
    <w:rsid w:val="3BDBC59C"/>
    <w:rsid w:val="3FDBB1FB"/>
    <w:rsid w:val="4CB64C0E"/>
    <w:rsid w:val="5E0EDAA6"/>
    <w:rsid w:val="67D2D4FC"/>
    <w:rsid w:val="70F1BDF7"/>
    <w:rsid w:val="764A4EAC"/>
    <w:rsid w:val="78E0FE07"/>
    <w:rsid w:val="7A00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33D9"/>
  <w15:chartTrackingRefBased/>
  <w15:docId w15:val="{44EF6B13-A374-4CF7-B88C-627E8FC3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24"/>
      </w:rPr>
      <w:tblPr/>
      <w:tcPr>
        <w:shd w:val="clear" w:color="auto" w:fill="FFD966" w:themeFill="accent4" w:themeFillTint="99"/>
      </w:tcPr>
    </w:tblStylePr>
  </w:style>
  <w:style w:type="paragraph" w:styleId="Header">
    <w:name w:val="header"/>
    <w:basedOn w:val="Normal"/>
    <w:link w:val="HeaderChar"/>
    <w:uiPriority w:val="99"/>
    <w:unhideWhenUsed/>
    <w:rsid w:val="0089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4B"/>
  </w:style>
  <w:style w:type="paragraph" w:styleId="Footer">
    <w:name w:val="footer"/>
    <w:basedOn w:val="Normal"/>
    <w:link w:val="FooterChar"/>
    <w:uiPriority w:val="99"/>
    <w:unhideWhenUsed/>
    <w:rsid w:val="0089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4B"/>
  </w:style>
  <w:style w:type="character" w:styleId="Hyperlink">
    <w:name w:val="Hyperlink"/>
    <w:basedOn w:val="DefaultParagraphFont"/>
    <w:uiPriority w:val="99"/>
    <w:unhideWhenUsed/>
    <w:rsid w:val="00C208F8"/>
    <w:rPr>
      <w:color w:val="0563C1" w:themeColor="hyperlink"/>
      <w:u w:val="single"/>
    </w:rPr>
  </w:style>
  <w:style w:type="paragraph" w:styleId="BalloonText">
    <w:name w:val="Balloon Text"/>
    <w:basedOn w:val="Normal"/>
    <w:link w:val="BalloonTextChar"/>
    <w:uiPriority w:val="99"/>
    <w:semiHidden/>
    <w:unhideWhenUsed/>
    <w:rsid w:val="00B2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8FA"/>
    <w:rPr>
      <w:rFonts w:ascii="Segoe UI" w:hAnsi="Segoe UI" w:cs="Segoe UI"/>
      <w:sz w:val="18"/>
      <w:szCs w:val="18"/>
    </w:rPr>
  </w:style>
  <w:style w:type="paragraph" w:styleId="Revision">
    <w:name w:val="Revision"/>
    <w:hidden/>
    <w:uiPriority w:val="99"/>
    <w:semiHidden/>
    <w:rsid w:val="007E3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17247">
      <w:bodyDiv w:val="1"/>
      <w:marLeft w:val="0"/>
      <w:marRight w:val="0"/>
      <w:marTop w:val="0"/>
      <w:marBottom w:val="0"/>
      <w:divBdr>
        <w:top w:val="none" w:sz="0" w:space="0" w:color="auto"/>
        <w:left w:val="none" w:sz="0" w:space="0" w:color="auto"/>
        <w:bottom w:val="none" w:sz="0" w:space="0" w:color="auto"/>
        <w:right w:val="none" w:sz="0" w:space="0" w:color="auto"/>
      </w:divBdr>
    </w:div>
    <w:div w:id="20983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mpower.marylan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f2e4f0-9082-4283-bf93-0f4a5d1620c6">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411c5c80-5240-4491-90dd-580dd7d01136">
      <Terms xmlns="http://schemas.microsoft.com/office/infopath/2007/PartnerControls"/>
    </lcf76f155ced4ddcb4097134ff3c332f>
    <TaxCatchAll xmlns="8ef2e4f0-9082-4283-bf93-0f4a5d162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6DB1429DD6444ABDE9F1C1BD2ED13" ma:contentTypeVersion="19" ma:contentTypeDescription="Create a new document." ma:contentTypeScope="" ma:versionID="e58e5be48ab2e92cc2949ece8709577d">
  <xsd:schema xmlns:xsd="http://www.w3.org/2001/XMLSchema" xmlns:xs="http://www.w3.org/2001/XMLSchema" xmlns:p="http://schemas.microsoft.com/office/2006/metadata/properties" xmlns:ns1="http://schemas.microsoft.com/sharepoint/v3" xmlns:ns2="8ef2e4f0-9082-4283-bf93-0f4a5d1620c6" xmlns:ns3="411c5c80-5240-4491-90dd-580dd7d01136" targetNamespace="http://schemas.microsoft.com/office/2006/metadata/properties" ma:root="true" ma:fieldsID="0720e2ad1c74ff9871d35208f5204ac7" ns1:_="" ns2:_="" ns3:_="">
    <xsd:import namespace="http://schemas.microsoft.com/sharepoint/v3"/>
    <xsd:import namespace="8ef2e4f0-9082-4283-bf93-0f4a5d1620c6"/>
    <xsd:import namespace="411c5c80-5240-4491-90dd-580dd7d0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2e4f0-9082-4283-bf93-0f4a5d162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7efe6c-d4f0-495f-b8c1-d51ffc47461c}" ma:internalName="TaxCatchAll" ma:showField="CatchAllData" ma:web="8ef2e4f0-9082-4283-bf93-0f4a5d162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1c5c80-5240-4491-90dd-580dd7d0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3CED6-6DF9-469E-8555-8507BD4C5324}">
  <ds:schemaRefs>
    <ds:schemaRef ds:uri="http://schemas.microsoft.com/sharepoint/v3/contenttype/forms"/>
  </ds:schemaRefs>
</ds:datastoreItem>
</file>

<file path=customXml/itemProps2.xml><?xml version="1.0" encoding="utf-8"?>
<ds:datastoreItem xmlns:ds="http://schemas.openxmlformats.org/officeDocument/2006/customXml" ds:itemID="{69CFD758-67DA-4E9C-B4DB-B1A1C2AEA443}">
  <ds:schemaRefs>
    <ds:schemaRef ds:uri="http://schemas.microsoft.com/office/2006/metadata/properties"/>
    <ds:schemaRef ds:uri="http://schemas.microsoft.com/office/infopath/2007/PartnerControls"/>
    <ds:schemaRef ds:uri="8ef2e4f0-9082-4283-bf93-0f4a5d1620c6"/>
    <ds:schemaRef ds:uri="http://schemas.microsoft.com/sharepoint/v3"/>
    <ds:schemaRef ds:uri="411c5c80-5240-4491-90dd-580dd7d01136"/>
  </ds:schemaRefs>
</ds:datastoreItem>
</file>

<file path=customXml/itemProps3.xml><?xml version="1.0" encoding="utf-8"?>
<ds:datastoreItem xmlns:ds="http://schemas.openxmlformats.org/officeDocument/2006/customXml" ds:itemID="{707B09F0-00F0-40AF-BF81-01957ACD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2e4f0-9082-4283-bf93-0f4a5d1620c6"/>
    <ds:schemaRef ds:uri="411c5c80-5240-4491-90dd-580dd7d0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Flerlage, Andrew</dc:creator>
  <cp:keywords/>
  <dc:description/>
  <cp:lastModifiedBy>Mack, Bryan K.</cp:lastModifiedBy>
  <cp:revision>2</cp:revision>
  <dcterms:created xsi:type="dcterms:W3CDTF">2024-03-15T19:32:00Z</dcterms:created>
  <dcterms:modified xsi:type="dcterms:W3CDTF">2024-03-15T19:32:00Z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0x010100FA36DB1429DD6444ABDE9F1C1BD2ED13</vt:lpwstr>
  </property>
  <property fmtid="{D5CDD505-2E9C-101B-9397-08002B2CF9AE}" pid="3" name="Order">
    <vt:r8>101666300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