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489E" w14:textId="4B94EC18" w:rsidR="00DB3D0D" w:rsidRDefault="007333A4" w:rsidP="00DB3D0D">
      <w:pPr>
        <w:pStyle w:val="Heading1"/>
      </w:pPr>
      <w:r>
        <w:rPr>
          <w:noProof/>
        </w:rPr>
        <w:drawing>
          <wp:inline distT="0" distB="0" distL="0" distR="0" wp14:anchorId="2B3226B1" wp14:editId="41533FD5">
            <wp:extent cx="2931111" cy="772502"/>
            <wp:effectExtent l="0" t="0" r="3175" b="8890"/>
            <wp:docPr id="1145871197" name="Picture 1" descr="Logo for the University of Maryland, Balti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71197" name="Picture 1" descr="Logo for the University of Maryland, Baltimo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566" cy="77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E3336" w14:textId="77777777" w:rsidR="007333A4" w:rsidRPr="007333A4" w:rsidRDefault="007333A4" w:rsidP="007333A4"/>
    <w:p w14:paraId="758AE76F" w14:textId="722A44B8" w:rsidR="00167E32" w:rsidRPr="00DB3D0D" w:rsidRDefault="00167E32" w:rsidP="00DB3D0D">
      <w:pPr>
        <w:pStyle w:val="Heading1"/>
      </w:pPr>
      <w:r w:rsidRPr="00DB3D0D">
        <w:t>Global Courses at UMB</w:t>
      </w:r>
    </w:p>
    <w:p w14:paraId="4D6C2849" w14:textId="61ECBE76" w:rsidR="00167E32" w:rsidRPr="00DB3D0D" w:rsidRDefault="00167E32" w:rsidP="00DB3D0D">
      <w:pPr>
        <w:pStyle w:val="Heading2"/>
      </w:pPr>
      <w:r w:rsidRPr="00DB3D0D">
        <w:t>Fall 202</w:t>
      </w:r>
      <w:r w:rsidR="004262EA">
        <w:t>6</w:t>
      </w:r>
    </w:p>
    <w:p w14:paraId="0E7106DC" w14:textId="7C290074" w:rsidR="00E12178" w:rsidRDefault="001133E5" w:rsidP="237A8A39">
      <w:pPr>
        <w:rPr>
          <w:b/>
          <w:bCs/>
        </w:rPr>
      </w:pPr>
      <w:r>
        <w:t xml:space="preserve">This page provides a list of courses across all seven UMB schools that </w:t>
      </w:r>
      <w:r w:rsidR="54BE69DA">
        <w:t>focus</w:t>
      </w:r>
      <w:r>
        <w:t xml:space="preserve"> on global issues or integrate global content. </w:t>
      </w:r>
      <w:r w:rsidR="001F4005">
        <w:t>This list is updated as CGE becomes aware of new course offerings.</w:t>
      </w:r>
    </w:p>
    <w:p w14:paraId="239570B3" w14:textId="0EFF7D71" w:rsidR="001F4005" w:rsidRDefault="001F4005" w:rsidP="001133E5">
      <w:r>
        <w:t xml:space="preserve">Students </w:t>
      </w:r>
      <w:r w:rsidR="000B4699">
        <w:t xml:space="preserve">interested in any of these courses should check the </w:t>
      </w:r>
      <w:hyperlink r:id="rId10">
        <w:r w:rsidR="000B4699" w:rsidRPr="237A8A39">
          <w:rPr>
            <w:rStyle w:val="Hyperlink"/>
          </w:rPr>
          <w:t>schedule of classes</w:t>
        </w:r>
      </w:hyperlink>
      <w:r w:rsidR="000B4699">
        <w:t xml:space="preserve"> to learn </w:t>
      </w:r>
      <w:r w:rsidR="6476A33C">
        <w:t>more and</w:t>
      </w:r>
      <w:r w:rsidR="3450B444">
        <w:t xml:space="preserve">/or </w:t>
      </w:r>
      <w:r w:rsidR="000B4699">
        <w:t>consult wit</w:t>
      </w:r>
      <w:r w:rsidR="00C827B2">
        <w:t>h relevant officials in their UMB school (e.g., registration office, academic advisor, student affa</w:t>
      </w:r>
      <w:r w:rsidR="0FA06033">
        <w:t>irs office,</w:t>
      </w:r>
      <w:r w:rsidR="42FDE97F">
        <w:t xml:space="preserve"> etc.</w:t>
      </w:r>
      <w:r w:rsidR="00C827B2">
        <w:t>) to receive advice about whether the course counts towards their degree requirements</w:t>
      </w:r>
      <w:r w:rsidR="34BE87C0">
        <w:t xml:space="preserve"> and procedures to register.</w:t>
      </w:r>
    </w:p>
    <w:p w14:paraId="110E67BB" w14:textId="7F5B7FC5" w:rsidR="4044A6D8" w:rsidRDefault="4044A6D8" w:rsidP="4044A6D8">
      <w:pPr>
        <w:rPr>
          <w:b/>
          <w:bCs/>
        </w:rPr>
      </w:pPr>
    </w:p>
    <w:p w14:paraId="12BB645C" w14:textId="5565900C" w:rsidR="004262EA" w:rsidRDefault="004262EA" w:rsidP="004262EA">
      <w:pPr>
        <w:pStyle w:val="Heading3"/>
      </w:pPr>
      <w:r w:rsidRPr="004262EA">
        <w:t>Interprofessional</w:t>
      </w:r>
    </w:p>
    <w:p w14:paraId="7A935E67" w14:textId="15054C24" w:rsidR="004262EA" w:rsidRPr="004262EA" w:rsidRDefault="004262EA" w:rsidP="004262EA">
      <w:r w:rsidRPr="004262EA">
        <w:t>CIPP</w:t>
      </w:r>
      <w:r w:rsidRPr="004262EA">
        <w:tab/>
        <w:t>603</w:t>
      </w:r>
      <w:r w:rsidRPr="004262EA">
        <w:tab/>
        <w:t>Interprofessional Disability Care</w:t>
      </w:r>
    </w:p>
    <w:p w14:paraId="6ABBE5BE" w14:textId="77777777" w:rsidR="004262EA" w:rsidRDefault="004262EA" w:rsidP="00DB3D0D">
      <w:pPr>
        <w:pStyle w:val="Heading3"/>
      </w:pPr>
    </w:p>
    <w:p w14:paraId="739F1DB3" w14:textId="52538FAE" w:rsidR="0005008C" w:rsidRPr="00DB3D0D" w:rsidRDefault="0005008C" w:rsidP="00DB3D0D">
      <w:pPr>
        <w:pStyle w:val="Heading3"/>
      </w:pPr>
      <w:r w:rsidRPr="00DB3D0D">
        <w:t>School of Graduate Studies</w:t>
      </w:r>
    </w:p>
    <w:p w14:paraId="4133EA6C" w14:textId="77777777" w:rsidR="004262EA" w:rsidRDefault="004262EA" w:rsidP="004262EA">
      <w:r>
        <w:t>DEIL</w:t>
      </w:r>
      <w:r>
        <w:tab/>
        <w:t>790</w:t>
      </w:r>
      <w:r>
        <w:tab/>
        <w:t>DEI Evidence-Based Practice Toolkit</w:t>
      </w:r>
    </w:p>
    <w:p w14:paraId="7FB51410" w14:textId="77777777" w:rsidR="004262EA" w:rsidRDefault="004262EA" w:rsidP="004262EA">
      <w:r>
        <w:t>ETHC</w:t>
      </w:r>
      <w:r>
        <w:tab/>
        <w:t>665</w:t>
      </w:r>
      <w:r>
        <w:tab/>
        <w:t>Responsible Conduct of Research in International Affairs</w:t>
      </w:r>
    </w:p>
    <w:p w14:paraId="60CF9A0E" w14:textId="77777777" w:rsidR="004262EA" w:rsidRDefault="004262EA" w:rsidP="004262EA">
      <w:r>
        <w:t>GERO</w:t>
      </w:r>
      <w:r>
        <w:tab/>
        <w:t>786</w:t>
      </w:r>
      <w:r>
        <w:tab/>
        <w:t>Psychology of Aging</w:t>
      </w:r>
    </w:p>
    <w:p w14:paraId="1755E8D3" w14:textId="77777777" w:rsidR="004262EA" w:rsidRDefault="004262EA" w:rsidP="004262EA">
      <w:r>
        <w:t>GLBH</w:t>
      </w:r>
      <w:r>
        <w:tab/>
        <w:t>607</w:t>
      </w:r>
      <w:r>
        <w:tab/>
        <w:t>Global Health Program Monitoring and Evaluation I</w:t>
      </w:r>
    </w:p>
    <w:p w14:paraId="55D1A30B" w14:textId="77777777" w:rsidR="004262EA" w:rsidRDefault="004262EA" w:rsidP="004262EA">
      <w:r>
        <w:t>GLBH</w:t>
      </w:r>
      <w:r>
        <w:tab/>
        <w:t>652</w:t>
      </w:r>
      <w:r>
        <w:tab/>
        <w:t>Global Health Management and Leadership</w:t>
      </w:r>
    </w:p>
    <w:p w14:paraId="6668C645" w14:textId="77777777" w:rsidR="004262EA" w:rsidRDefault="004262EA" w:rsidP="004262EA">
      <w:r>
        <w:t>GPLS</w:t>
      </w:r>
      <w:r>
        <w:tab/>
        <w:t>691</w:t>
      </w:r>
      <w:r>
        <w:tab/>
        <w:t>Current Topics in Neuroscience</w:t>
      </w:r>
    </w:p>
    <w:p w14:paraId="5C8B26C5" w14:textId="77777777" w:rsidR="004262EA" w:rsidRDefault="004262EA" w:rsidP="004262EA">
      <w:r>
        <w:t>GPLS</w:t>
      </w:r>
      <w:r>
        <w:tab/>
        <w:t>692</w:t>
      </w:r>
      <w:r>
        <w:tab/>
        <w:t>Current Topics in Genome Biology</w:t>
      </w:r>
    </w:p>
    <w:p w14:paraId="615B4E5F" w14:textId="77777777" w:rsidR="004262EA" w:rsidRDefault="004262EA" w:rsidP="004262EA">
      <w:r>
        <w:t>HPE</w:t>
      </w:r>
      <w:r>
        <w:tab/>
        <w:t>610</w:t>
      </w:r>
      <w:r>
        <w:tab/>
        <w:t>Theoretical Foundations of Teaching and Learning in the Health Professions</w:t>
      </w:r>
    </w:p>
    <w:p w14:paraId="06DA878E" w14:textId="77777777" w:rsidR="004262EA" w:rsidRDefault="004262EA" w:rsidP="004262EA">
      <w:r>
        <w:t>INNO</w:t>
      </w:r>
      <w:r>
        <w:tab/>
        <w:t>600</w:t>
      </w:r>
      <w:r>
        <w:tab/>
        <w:t>Foundations in Health and Social Innovation</w:t>
      </w:r>
    </w:p>
    <w:p w14:paraId="088EFB6D" w14:textId="77777777" w:rsidR="004262EA" w:rsidRDefault="004262EA" w:rsidP="004262EA">
      <w:r>
        <w:t>MCST</w:t>
      </w:r>
      <w:r>
        <w:tab/>
        <w:t>617</w:t>
      </w:r>
      <w:r>
        <w:tab/>
        <w:t>Introduction to Integrative Health</w:t>
      </w:r>
    </w:p>
    <w:p w14:paraId="705037D9" w14:textId="1779898F" w:rsidR="004262EA" w:rsidRDefault="004262EA" w:rsidP="004262EA">
      <w:r>
        <w:t>MHS</w:t>
      </w:r>
      <w:r>
        <w:tab/>
        <w:t>602</w:t>
      </w:r>
      <w:r>
        <w:tab/>
        <w:t>Legal and Ethical Issues for Health, Human Services, and Clinical Professions</w:t>
      </w:r>
    </w:p>
    <w:p w14:paraId="507B62F6" w14:textId="77777777" w:rsidR="004262EA" w:rsidRDefault="004262EA" w:rsidP="004262EA">
      <w:r>
        <w:t>MHS</w:t>
      </w:r>
      <w:r>
        <w:tab/>
        <w:t>605</w:t>
      </w:r>
      <w:r>
        <w:tab/>
        <w:t>Perspectives on Global Health</w:t>
      </w:r>
    </w:p>
    <w:p w14:paraId="28905D32" w14:textId="77777777" w:rsidR="004262EA" w:rsidRDefault="004262EA" w:rsidP="004262EA">
      <w:r>
        <w:t>MHS</w:t>
      </w:r>
      <w:r>
        <w:tab/>
        <w:t>612</w:t>
      </w:r>
      <w:r>
        <w:tab/>
        <w:t>Introduction to Integrative Health and Wellness</w:t>
      </w:r>
    </w:p>
    <w:p w14:paraId="45541B3C" w14:textId="77777777" w:rsidR="004262EA" w:rsidRDefault="004262EA" w:rsidP="004262EA">
      <w:r>
        <w:lastRenderedPageBreak/>
        <w:t>MHS</w:t>
      </w:r>
      <w:r>
        <w:tab/>
        <w:t>618</w:t>
      </w:r>
      <w:r>
        <w:tab/>
        <w:t>Regulatory &amp; Legal Issues in Research</w:t>
      </w:r>
    </w:p>
    <w:p w14:paraId="46A59EFE" w14:textId="77777777" w:rsidR="004262EA" w:rsidRDefault="004262EA" w:rsidP="004262EA">
      <w:r>
        <w:t>MHS</w:t>
      </w:r>
      <w:r>
        <w:tab/>
        <w:t>630</w:t>
      </w:r>
      <w:r>
        <w:tab/>
        <w:t>Essentials of Chronic Infectious Epidemiology</w:t>
      </w:r>
    </w:p>
    <w:p w14:paraId="5AD15A14" w14:textId="77777777" w:rsidR="004262EA" w:rsidRDefault="004262EA" w:rsidP="004262EA">
      <w:r>
        <w:t>MHS</w:t>
      </w:r>
      <w:r>
        <w:tab/>
        <w:t>631</w:t>
      </w:r>
      <w:r>
        <w:tab/>
        <w:t>Global Non-Communicable (NCD) Epidemiology</w:t>
      </w:r>
    </w:p>
    <w:p w14:paraId="2C798902" w14:textId="77777777" w:rsidR="004262EA" w:rsidRDefault="004262EA" w:rsidP="004262EA">
      <w:r>
        <w:t>MHS</w:t>
      </w:r>
      <w:r>
        <w:tab/>
        <w:t>636</w:t>
      </w:r>
      <w:r>
        <w:tab/>
        <w:t>Advanced Skills in Integrative Mind-Body Interventions</w:t>
      </w:r>
    </w:p>
    <w:p w14:paraId="4D89E01A" w14:textId="77777777" w:rsidR="004262EA" w:rsidRDefault="004262EA" w:rsidP="004262EA">
      <w:r>
        <w:t>PALC</w:t>
      </w:r>
      <w:r>
        <w:tab/>
        <w:t>614</w:t>
      </w:r>
      <w:r>
        <w:tab/>
        <w:t>Advanced Spirituality and Psychosocial Skills</w:t>
      </w:r>
    </w:p>
    <w:p w14:paraId="3D671F23" w14:textId="77777777" w:rsidR="004262EA" w:rsidRDefault="004262EA" w:rsidP="004262EA">
      <w:r>
        <w:t>THAN</w:t>
      </w:r>
      <w:r>
        <w:tab/>
        <w:t>609</w:t>
      </w:r>
      <w:r>
        <w:tab/>
        <w:t>Perspectives in Aging</w:t>
      </w:r>
    </w:p>
    <w:p w14:paraId="7CC6E775" w14:textId="38224573" w:rsidR="4044A6D8" w:rsidRDefault="004262EA" w:rsidP="004262EA">
      <w:r>
        <w:t>TRMA</w:t>
      </w:r>
      <w:r>
        <w:tab/>
        <w:t>601</w:t>
      </w:r>
      <w:r>
        <w:tab/>
        <w:t>A Global View of Trauma</w:t>
      </w:r>
    </w:p>
    <w:p w14:paraId="726F553F" w14:textId="77777777" w:rsidR="00865AD9" w:rsidRDefault="00865AD9" w:rsidP="004262EA">
      <w:pPr>
        <w:rPr>
          <w:b/>
          <w:bCs/>
        </w:rPr>
      </w:pPr>
    </w:p>
    <w:p w14:paraId="680A9B3E" w14:textId="77777777" w:rsidR="00EF257F" w:rsidRPr="00927948" w:rsidRDefault="00EF257F" w:rsidP="00DB3D0D">
      <w:pPr>
        <w:pStyle w:val="Heading3"/>
      </w:pPr>
      <w:r w:rsidRPr="00927948">
        <w:t>School of Law</w:t>
      </w:r>
    </w:p>
    <w:p w14:paraId="6ACC368F" w14:textId="77777777" w:rsidR="004262EA" w:rsidRDefault="004262EA" w:rsidP="004262EA">
      <w:r>
        <w:t>LAW</w:t>
      </w:r>
      <w:r>
        <w:tab/>
        <w:t>501S</w:t>
      </w:r>
      <w:r>
        <w:tab/>
        <w:t>Advanced Bioethics and the Law</w:t>
      </w:r>
    </w:p>
    <w:p w14:paraId="3755FE71" w14:textId="77777777" w:rsidR="004262EA" w:rsidRDefault="004262EA" w:rsidP="004262EA">
      <w:r>
        <w:t>LAW</w:t>
      </w:r>
      <w:r>
        <w:tab/>
        <w:t>504C</w:t>
      </w:r>
      <w:r>
        <w:tab/>
        <w:t>International Moot Court</w:t>
      </w:r>
    </w:p>
    <w:p w14:paraId="790EFD81" w14:textId="77777777" w:rsidR="004262EA" w:rsidRDefault="004262EA" w:rsidP="004262EA">
      <w:r>
        <w:t>LAW</w:t>
      </w:r>
      <w:r>
        <w:tab/>
        <w:t>506V</w:t>
      </w:r>
      <w:r>
        <w:tab/>
        <w:t>ELS: Global Agriculture and Food Law</w:t>
      </w:r>
    </w:p>
    <w:p w14:paraId="4F203081" w14:textId="77777777" w:rsidR="004262EA" w:rsidRDefault="004262EA" w:rsidP="004262EA">
      <w:r>
        <w:t>LAW</w:t>
      </w:r>
      <w:r>
        <w:tab/>
        <w:t>508R</w:t>
      </w:r>
      <w:r>
        <w:tab/>
        <w:t>Energy Law</w:t>
      </w:r>
    </w:p>
    <w:p w14:paraId="20F19B68" w14:textId="77777777" w:rsidR="004262EA" w:rsidRDefault="004262EA" w:rsidP="004262EA">
      <w:r>
        <w:t>LAW</w:t>
      </w:r>
      <w:r>
        <w:tab/>
        <w:t>517T</w:t>
      </w:r>
      <w:r>
        <w:tab/>
        <w:t>Slavery and the Law</w:t>
      </w:r>
    </w:p>
    <w:p w14:paraId="6FE3B6C0" w14:textId="77777777" w:rsidR="004262EA" w:rsidRDefault="004262EA" w:rsidP="004262EA">
      <w:r>
        <w:t>LAW</w:t>
      </w:r>
      <w:r>
        <w:tab/>
        <w:t>522Q</w:t>
      </w:r>
      <w:r>
        <w:tab/>
        <w:t>Maryland Journal of International Law</w:t>
      </w:r>
    </w:p>
    <w:p w14:paraId="0DE6D904" w14:textId="77777777" w:rsidR="004262EA" w:rsidRDefault="004262EA" w:rsidP="004262EA">
      <w:r>
        <w:t>LAW</w:t>
      </w:r>
      <w:r>
        <w:tab/>
        <w:t>525K</w:t>
      </w:r>
      <w:r>
        <w:tab/>
        <w:t>Immigration Clinic</w:t>
      </w:r>
    </w:p>
    <w:p w14:paraId="6C202C44" w14:textId="77777777" w:rsidR="004262EA" w:rsidRDefault="004262EA" w:rsidP="004262EA">
      <w:r>
        <w:t>LAW</w:t>
      </w:r>
      <w:r>
        <w:tab/>
        <w:t>528U</w:t>
      </w:r>
      <w:r>
        <w:tab/>
        <w:t>Crimmigration Law and Practice</w:t>
      </w:r>
    </w:p>
    <w:p w14:paraId="294F274A" w14:textId="77777777" w:rsidR="004262EA" w:rsidRDefault="004262EA" w:rsidP="004262EA">
      <w:r>
        <w:t>LAW</w:t>
      </w:r>
      <w:r>
        <w:tab/>
        <w:t>531J</w:t>
      </w:r>
      <w:r>
        <w:tab/>
        <w:t>Environmental Law: Legal Theory and Practice</w:t>
      </w:r>
    </w:p>
    <w:p w14:paraId="5CA2FBA7" w14:textId="77777777" w:rsidR="004262EA" w:rsidRDefault="004262EA" w:rsidP="004262EA">
      <w:r>
        <w:t>LAW</w:t>
      </w:r>
      <w:r>
        <w:tab/>
        <w:t>539U</w:t>
      </w:r>
      <w:r>
        <w:tab/>
        <w:t>Asylum Law</w:t>
      </w:r>
    </w:p>
    <w:p w14:paraId="739D113A" w14:textId="77777777" w:rsidR="004262EA" w:rsidRDefault="004262EA" w:rsidP="004262EA">
      <w:r>
        <w:t>LAW</w:t>
      </w:r>
      <w:r>
        <w:tab/>
        <w:t>544K</w:t>
      </w:r>
      <w:r>
        <w:tab/>
        <w:t>International Labor Law Seminar</w:t>
      </w:r>
    </w:p>
    <w:p w14:paraId="6BAADCEC" w14:textId="77777777" w:rsidR="004262EA" w:rsidRDefault="004262EA" w:rsidP="004262EA">
      <w:r>
        <w:t>LAW</w:t>
      </w:r>
      <w:r>
        <w:tab/>
        <w:t>556B</w:t>
      </w:r>
      <w:r>
        <w:tab/>
        <w:t>Environmental Law</w:t>
      </w:r>
    </w:p>
    <w:p w14:paraId="14EA3782" w14:textId="77777777" w:rsidR="004262EA" w:rsidRDefault="004262EA" w:rsidP="004262EA">
      <w:r>
        <w:t>LAW</w:t>
      </w:r>
      <w:r>
        <w:tab/>
        <w:t>557B</w:t>
      </w:r>
      <w:r>
        <w:tab/>
        <w:t>Environmental Law Clinic</w:t>
      </w:r>
    </w:p>
    <w:p w14:paraId="78602DBF" w14:textId="2562BF3F" w:rsidR="004262EA" w:rsidRDefault="004262EA" w:rsidP="004262EA">
      <w:r>
        <w:t>LAW</w:t>
      </w:r>
      <w:r>
        <w:tab/>
        <w:t>566Q</w:t>
      </w:r>
      <w:r>
        <w:tab/>
        <w:t xml:space="preserve">National Security, Electronic </w:t>
      </w:r>
      <w:r w:rsidR="00B258D5">
        <w:t>Surveillance,</w:t>
      </w:r>
      <w:r>
        <w:t xml:space="preserve"> and the Fourth Amendment</w:t>
      </w:r>
    </w:p>
    <w:p w14:paraId="1CC7E915" w14:textId="77777777" w:rsidR="004262EA" w:rsidRDefault="004262EA" w:rsidP="004262EA">
      <w:r>
        <w:t>LAW</w:t>
      </w:r>
      <w:r>
        <w:tab/>
        <w:t>570C</w:t>
      </w:r>
      <w:r>
        <w:tab/>
        <w:t>Gender and the Law Seminar</w:t>
      </w:r>
    </w:p>
    <w:p w14:paraId="3C45854C" w14:textId="77777777" w:rsidR="004262EA" w:rsidRDefault="004262EA" w:rsidP="004262EA">
      <w:r>
        <w:t>LAW</w:t>
      </w:r>
      <w:r>
        <w:tab/>
        <w:t>578T</w:t>
      </w:r>
      <w:r>
        <w:tab/>
        <w:t>Law, AI &amp; Big Data</w:t>
      </w:r>
    </w:p>
    <w:p w14:paraId="52179710" w14:textId="77777777" w:rsidR="004262EA" w:rsidRDefault="004262EA" w:rsidP="004262EA">
      <w:r>
        <w:t>LAW</w:t>
      </w:r>
      <w:r>
        <w:tab/>
        <w:t>581G</w:t>
      </w:r>
      <w:r>
        <w:tab/>
        <w:t>ELS: Clean Water Act</w:t>
      </w:r>
    </w:p>
    <w:p w14:paraId="6E0B3493" w14:textId="77777777" w:rsidR="004262EA" w:rsidRDefault="004262EA" w:rsidP="004262EA">
      <w:r>
        <w:t>LAW</w:t>
      </w:r>
      <w:r>
        <w:tab/>
        <w:t>581S</w:t>
      </w:r>
      <w:r>
        <w:tab/>
        <w:t>Law, Lawyering and Social Movements</w:t>
      </w:r>
    </w:p>
    <w:p w14:paraId="3EECDD98" w14:textId="77777777" w:rsidR="004262EA" w:rsidRDefault="004262EA" w:rsidP="004262EA">
      <w:r>
        <w:t>LAW</w:t>
      </w:r>
      <w:r>
        <w:tab/>
        <w:t>584T</w:t>
      </w:r>
      <w:r>
        <w:tab/>
        <w:t>International Cybersecurity Seminar</w:t>
      </w:r>
    </w:p>
    <w:p w14:paraId="1FFDE32B" w14:textId="77777777" w:rsidR="004262EA" w:rsidRDefault="004262EA" w:rsidP="004262EA">
      <w:r>
        <w:t>LAW</w:t>
      </w:r>
      <w:r>
        <w:tab/>
        <w:t>587Q</w:t>
      </w:r>
      <w:r>
        <w:tab/>
        <w:t>Land Use and Sustainable Development Law</w:t>
      </w:r>
    </w:p>
    <w:p w14:paraId="6A009F04" w14:textId="77777777" w:rsidR="004262EA" w:rsidRDefault="004262EA" w:rsidP="004262EA">
      <w:r>
        <w:lastRenderedPageBreak/>
        <w:t>LAW</w:t>
      </w:r>
      <w:r>
        <w:tab/>
        <w:t>593C</w:t>
      </w:r>
      <w:r>
        <w:tab/>
        <w:t>Public Health and the Law</w:t>
      </w:r>
    </w:p>
    <w:p w14:paraId="34E157B6" w14:textId="77777777" w:rsidR="004262EA" w:rsidRDefault="004262EA" w:rsidP="004262EA">
      <w:r>
        <w:t>LAW</w:t>
      </w:r>
      <w:r>
        <w:tab/>
        <w:t>630E</w:t>
      </w:r>
      <w:r>
        <w:tab/>
        <w:t>Law &amp; Policy of Cybersecurity</w:t>
      </w:r>
    </w:p>
    <w:p w14:paraId="43EEB33D" w14:textId="77777777" w:rsidR="004262EA" w:rsidRDefault="004262EA" w:rsidP="004262EA">
      <w:r>
        <w:t>LAW</w:t>
      </w:r>
      <w:r>
        <w:tab/>
        <w:t>633E</w:t>
      </w:r>
      <w:r>
        <w:tab/>
        <w:t>Law &amp; Policy of Cybercrimes</w:t>
      </w:r>
    </w:p>
    <w:p w14:paraId="375F07FF" w14:textId="77777777" w:rsidR="004262EA" w:rsidRDefault="004262EA" w:rsidP="004262EA">
      <w:r>
        <w:t>LAW</w:t>
      </w:r>
      <w:r>
        <w:tab/>
        <w:t>636E</w:t>
      </w:r>
      <w:r>
        <w:tab/>
        <w:t>Health Care Reform</w:t>
      </w:r>
    </w:p>
    <w:p w14:paraId="53C29D7F" w14:textId="77777777" w:rsidR="004262EA" w:rsidRDefault="004262EA" w:rsidP="004262EA">
      <w:r>
        <w:t>LAW</w:t>
      </w:r>
      <w:r>
        <w:tab/>
        <w:t>645E</w:t>
      </w:r>
      <w:r>
        <w:tab/>
        <w:t>Homeland Security and the Law of Counterterrorism</w:t>
      </w:r>
    </w:p>
    <w:p w14:paraId="530AFFF7" w14:textId="6C21057F" w:rsidR="00EF257F" w:rsidRDefault="004262EA" w:rsidP="004262EA">
      <w:pPr>
        <w:rPr>
          <w:b/>
          <w:bCs/>
        </w:rPr>
      </w:pPr>
      <w:r>
        <w:tab/>
      </w:r>
      <w:r>
        <w:tab/>
      </w:r>
    </w:p>
    <w:p w14:paraId="3CC2F07C" w14:textId="2AAC521D" w:rsidR="006567EB" w:rsidRPr="00E9687E" w:rsidRDefault="006567EB" w:rsidP="00DB3D0D">
      <w:pPr>
        <w:pStyle w:val="Heading3"/>
      </w:pPr>
      <w:r w:rsidRPr="00E9687E">
        <w:t>School of Medicine</w:t>
      </w:r>
    </w:p>
    <w:p w14:paraId="504FCB79" w14:textId="77777777" w:rsidR="004262EA" w:rsidRDefault="004262EA" w:rsidP="004262EA">
      <w:r>
        <w:t>DMSC</w:t>
      </w:r>
      <w:r>
        <w:tab/>
        <w:t>611</w:t>
      </w:r>
      <w:r>
        <w:tab/>
        <w:t>Principles of Teaching and Learning for the Health Professions Educator</w:t>
      </w:r>
    </w:p>
    <w:p w14:paraId="203DC716" w14:textId="77777777" w:rsidR="004262EA" w:rsidRDefault="004262EA" w:rsidP="004262EA">
      <w:r>
        <w:t>DMSC</w:t>
      </w:r>
      <w:r>
        <w:tab/>
        <w:t>710</w:t>
      </w:r>
      <w:r>
        <w:tab/>
        <w:t>Healthcare System Science, Organizational Microeconomics and Finance</w:t>
      </w:r>
    </w:p>
    <w:p w14:paraId="7D0B6092" w14:textId="77777777" w:rsidR="004262EA" w:rsidRDefault="004262EA" w:rsidP="004262EA">
      <w:r>
        <w:t>DMSC</w:t>
      </w:r>
      <w:r>
        <w:tab/>
        <w:t>712</w:t>
      </w:r>
      <w:r>
        <w:tab/>
        <w:t>Healthcare and Education Law and Ethics</w:t>
      </w:r>
    </w:p>
    <w:p w14:paraId="3884A91E" w14:textId="77777777" w:rsidR="004262EA" w:rsidRDefault="004262EA" w:rsidP="004262EA">
      <w:r>
        <w:t>DMSC</w:t>
      </w:r>
      <w:r>
        <w:tab/>
        <w:t>714</w:t>
      </w:r>
      <w:r>
        <w:tab/>
        <w:t>Leadership and Advocacy</w:t>
      </w:r>
    </w:p>
    <w:p w14:paraId="5458A2EA" w14:textId="77777777" w:rsidR="004262EA" w:rsidRDefault="004262EA" w:rsidP="004262EA">
      <w:r>
        <w:t>DMSC</w:t>
      </w:r>
      <w:r>
        <w:tab/>
        <w:t>716</w:t>
      </w:r>
      <w:r>
        <w:tab/>
        <w:t>Clinical Learning and Practice Reflection</w:t>
      </w:r>
    </w:p>
    <w:p w14:paraId="676EBBA1" w14:textId="1BBE9ECE" w:rsidR="004262EA" w:rsidRDefault="004262EA" w:rsidP="004262EA">
      <w:r>
        <w:t>DMSC</w:t>
      </w:r>
      <w:r>
        <w:tab/>
        <w:t>717</w:t>
      </w:r>
      <w:r>
        <w:tab/>
        <w:t>Evaluation, Synthesis, and Critical Appraisal of the Medical Literature</w:t>
      </w:r>
    </w:p>
    <w:p w14:paraId="1E20FA6A" w14:textId="77777777" w:rsidR="004262EA" w:rsidRDefault="004262EA" w:rsidP="004262EA">
      <w:r>
        <w:t>DMSC</w:t>
      </w:r>
      <w:r>
        <w:tab/>
        <w:t>720</w:t>
      </w:r>
      <w:r>
        <w:tab/>
        <w:t>Improving Healthcare Quality, Equity and Outcomes</w:t>
      </w:r>
    </w:p>
    <w:p w14:paraId="72336FB3" w14:textId="77777777" w:rsidR="004262EA" w:rsidRDefault="004262EA" w:rsidP="004262EA">
      <w:r>
        <w:t>HGEN</w:t>
      </w:r>
      <w:r>
        <w:tab/>
        <w:t>601</w:t>
      </w:r>
      <w:r>
        <w:tab/>
        <w:t>Basic Human Genetics I</w:t>
      </w:r>
    </w:p>
    <w:p w14:paraId="3A5112E6" w14:textId="77777777" w:rsidR="004262EA" w:rsidRDefault="004262EA" w:rsidP="004262EA">
      <w:r>
        <w:t>HGEN</w:t>
      </w:r>
      <w:r>
        <w:tab/>
        <w:t>608</w:t>
      </w:r>
      <w:r>
        <w:tab/>
        <w:t>Human Genetics Seminar</w:t>
      </w:r>
    </w:p>
    <w:p w14:paraId="534ED88C" w14:textId="77777777" w:rsidR="004262EA" w:rsidRDefault="004262EA" w:rsidP="004262EA">
      <w:r>
        <w:t>HGEN</w:t>
      </w:r>
      <w:r>
        <w:tab/>
        <w:t>609</w:t>
      </w:r>
      <w:r>
        <w:tab/>
        <w:t>Special Problems in Genetics</w:t>
      </w:r>
    </w:p>
    <w:p w14:paraId="12D64848" w14:textId="77777777" w:rsidR="004262EA" w:rsidRDefault="004262EA" w:rsidP="004262EA">
      <w:r>
        <w:t>HGEN</w:t>
      </w:r>
      <w:r>
        <w:tab/>
        <w:t>700</w:t>
      </w:r>
      <w:r>
        <w:tab/>
        <w:t>Psychosocial Genetic Counseling</w:t>
      </w:r>
    </w:p>
    <w:p w14:paraId="419FA854" w14:textId="77777777" w:rsidR="004262EA" w:rsidRDefault="004262EA" w:rsidP="004262EA">
      <w:r>
        <w:t>PH</w:t>
      </w:r>
      <w:r>
        <w:tab/>
        <w:t>605</w:t>
      </w:r>
      <w:r>
        <w:tab/>
        <w:t>Fundamentals of Public Health Practice</w:t>
      </w:r>
    </w:p>
    <w:p w14:paraId="250984DF" w14:textId="77777777" w:rsidR="004262EA" w:rsidRDefault="004262EA" w:rsidP="004262EA">
      <w:r>
        <w:t>PREV</w:t>
      </w:r>
      <w:r>
        <w:tab/>
        <w:t>589</w:t>
      </w:r>
      <w:r>
        <w:tab/>
        <w:t>Research Epidemiology and Public Health</w:t>
      </w:r>
    </w:p>
    <w:p w14:paraId="793B1721" w14:textId="77777777" w:rsidR="004262EA" w:rsidRDefault="004262EA" w:rsidP="004262EA">
      <w:r>
        <w:t>PREV</w:t>
      </w:r>
      <w:r>
        <w:tab/>
        <w:t>616</w:t>
      </w:r>
      <w:r>
        <w:tab/>
        <w:t>Introduction to Clinical and Translational Research at UMB</w:t>
      </w:r>
    </w:p>
    <w:p w14:paraId="6AF34F10" w14:textId="77777777" w:rsidR="004262EA" w:rsidRDefault="004262EA" w:rsidP="004262EA">
      <w:r>
        <w:t>PREV</w:t>
      </w:r>
      <w:r>
        <w:tab/>
        <w:t>633</w:t>
      </w:r>
      <w:r>
        <w:tab/>
        <w:t>Application of Legal and Regulatory Issues in Clinical Research</w:t>
      </w:r>
    </w:p>
    <w:p w14:paraId="132CFF3E" w14:textId="77777777" w:rsidR="004262EA" w:rsidRDefault="004262EA" w:rsidP="004262EA">
      <w:r>
        <w:t>PREV</w:t>
      </w:r>
      <w:r>
        <w:tab/>
        <w:t>701</w:t>
      </w:r>
      <w:r>
        <w:tab/>
        <w:t>Cancer Epidemiology</w:t>
      </w:r>
    </w:p>
    <w:p w14:paraId="4048ACB0" w14:textId="77777777" w:rsidR="004262EA" w:rsidRDefault="004262EA" w:rsidP="004262EA">
      <w:r>
        <w:t>PREV</w:t>
      </w:r>
      <w:r>
        <w:tab/>
        <w:t>716</w:t>
      </w:r>
      <w:r>
        <w:tab/>
        <w:t>Chronic Disease Epidemiology</w:t>
      </w:r>
    </w:p>
    <w:p w14:paraId="3F15BA7F" w14:textId="77777777" w:rsidR="004262EA" w:rsidRDefault="004262EA" w:rsidP="004262EA">
      <w:r>
        <w:t>PREV</w:t>
      </w:r>
      <w:r>
        <w:tab/>
        <w:t>747</w:t>
      </w:r>
      <w:r>
        <w:tab/>
        <w:t>Epidemiology and Preventive Medicine Research Practicum I</w:t>
      </w:r>
    </w:p>
    <w:p w14:paraId="3FA07CD1" w14:textId="77777777" w:rsidR="004262EA" w:rsidRDefault="004262EA" w:rsidP="004262EA">
      <w:r>
        <w:t>PREV</w:t>
      </w:r>
      <w:r>
        <w:tab/>
        <w:t>748</w:t>
      </w:r>
      <w:r>
        <w:tab/>
        <w:t>Epidemiology and Preventive Medicine Research Practicum II</w:t>
      </w:r>
    </w:p>
    <w:p w14:paraId="0AE1403C" w14:textId="77777777" w:rsidR="004262EA" w:rsidRDefault="004262EA" w:rsidP="004262EA">
      <w:r>
        <w:t>PREV</w:t>
      </w:r>
      <w:r>
        <w:tab/>
        <w:t>749</w:t>
      </w:r>
      <w:r>
        <w:tab/>
        <w:t>Infections Disease Epidemiology - A Global Perspective</w:t>
      </w:r>
    </w:p>
    <w:p w14:paraId="4FB68EF6" w14:textId="7E69FD42" w:rsidR="4044A6D8" w:rsidRDefault="004262EA" w:rsidP="004262EA">
      <w:pPr>
        <w:rPr>
          <w:rFonts w:ascii="Calibri" w:eastAsia="Times New Roman" w:hAnsi="Calibri" w:cs="Calibri"/>
          <w:b/>
          <w:bCs/>
          <w:color w:val="000000" w:themeColor="text1"/>
        </w:rPr>
      </w:pPr>
      <w:r>
        <w:t>PREV</w:t>
      </w:r>
      <w:r>
        <w:tab/>
        <w:t>780</w:t>
      </w:r>
      <w:r>
        <w:tab/>
        <w:t>Molecular Epidemiology</w:t>
      </w:r>
    </w:p>
    <w:p w14:paraId="4C5A5A9E" w14:textId="77777777" w:rsidR="007333A4" w:rsidRDefault="007333A4">
      <w:pPr>
        <w:rPr>
          <w:b/>
          <w:bCs/>
          <w:color w:val="007698"/>
          <w:sz w:val="24"/>
          <w:szCs w:val="24"/>
        </w:rPr>
      </w:pPr>
      <w:r>
        <w:br w:type="page"/>
      </w:r>
    </w:p>
    <w:p w14:paraId="00C337D4" w14:textId="5A857159" w:rsidR="00AB0477" w:rsidRPr="00927948" w:rsidRDefault="00AB0477" w:rsidP="00DB3D0D">
      <w:pPr>
        <w:pStyle w:val="Heading3"/>
      </w:pPr>
      <w:r w:rsidRPr="00927948">
        <w:lastRenderedPageBreak/>
        <w:t>School of Nursing</w:t>
      </w:r>
    </w:p>
    <w:p w14:paraId="0768CCF1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NDNP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710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Evidence-Informed Health Policy</w:t>
      </w:r>
    </w:p>
    <w:p w14:paraId="5A8AE382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NELC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408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Essentials in Global Health</w:t>
      </w:r>
    </w:p>
    <w:p w14:paraId="1D46E7A4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NELC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420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Environmental Health</w:t>
      </w:r>
    </w:p>
    <w:p w14:paraId="44314A41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NELC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440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Supporting Newborn Transition</w:t>
      </w:r>
    </w:p>
    <w:p w14:paraId="31FA8AFD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NELC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450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Spanish for Health Care Professionals - Advanced-Beginner Level</w:t>
      </w:r>
    </w:p>
    <w:p w14:paraId="73B2CA8C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NELC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454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Health, Healthcare, and Culture</w:t>
      </w:r>
    </w:p>
    <w:p w14:paraId="2D11575E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NRSG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723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Global Burden of Disease</w:t>
      </w:r>
    </w:p>
    <w:p w14:paraId="0D518A64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NRSG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780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Health Promotion and Population Health</w:t>
      </w:r>
    </w:p>
    <w:p w14:paraId="0C36DE9F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NRSG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782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Health Systems and Policy</w:t>
      </w:r>
    </w:p>
    <w:p w14:paraId="30072765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NURS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353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Community and Population Health</w:t>
      </w:r>
    </w:p>
    <w:p w14:paraId="1D7F18EC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NURS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355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Community and Population Health Clinic</w:t>
      </w:r>
    </w:p>
    <w:p w14:paraId="2FEBD74C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NURS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530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Foundations of Interprofessional Education and Practice</w:t>
      </w:r>
    </w:p>
    <w:p w14:paraId="05AF55FB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NURS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764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Advanced Environmental Health</w:t>
      </w:r>
    </w:p>
    <w:p w14:paraId="328229B8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NURS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769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Society, Health, and Social Justice</w:t>
      </w:r>
    </w:p>
    <w:p w14:paraId="46873FC6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NURS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840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Philosophy of Science and Development of Theory</w:t>
      </w:r>
    </w:p>
    <w:p w14:paraId="15BB9D59" w14:textId="4DA67728" w:rsidR="4044A6D8" w:rsidRDefault="004262EA" w:rsidP="004262EA">
      <w:pPr>
        <w:rPr>
          <w:rFonts w:ascii="Calibri" w:eastAsia="Times New Roman" w:hAnsi="Calibri" w:cs="Calibri"/>
          <w:b/>
          <w:bCs/>
          <w:color w:val="000000" w:themeColor="text1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NURS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850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Nursing Research Designs</w:t>
      </w:r>
    </w:p>
    <w:p w14:paraId="3C3698F7" w14:textId="77777777" w:rsidR="00865AD9" w:rsidRDefault="00865AD9" w:rsidP="00DB3D0D">
      <w:pPr>
        <w:pStyle w:val="Heading3"/>
      </w:pPr>
    </w:p>
    <w:p w14:paraId="3BB5FF38" w14:textId="34264BCC" w:rsidR="00AB0477" w:rsidRPr="00927948" w:rsidRDefault="00AB0477" w:rsidP="00DB3D0D">
      <w:pPr>
        <w:pStyle w:val="Heading3"/>
      </w:pPr>
      <w:r w:rsidRPr="00E9687E">
        <w:t>School of Pharmacy</w:t>
      </w:r>
    </w:p>
    <w:p w14:paraId="6314C58D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PHAR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5016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Infectious Diseases Therapeutics 1</w:t>
      </w:r>
    </w:p>
    <w:p w14:paraId="2EEB9A26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PHAR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5025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Public Health Policy and Systems</w:t>
      </w:r>
    </w:p>
    <w:p w14:paraId="1F857B2C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PHAR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600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Principles of Drug Discovery</w:t>
      </w:r>
    </w:p>
    <w:p w14:paraId="5ED318E1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PHMY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5022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Introduction to Medical Cannabis: History, Culture, and Policy</w:t>
      </w:r>
    </w:p>
    <w:p w14:paraId="61F31DC4" w14:textId="636E5E08" w:rsidR="00D9750D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PHSR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604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Pharmacoepidemiology</w:t>
      </w:r>
    </w:p>
    <w:p w14:paraId="3641823B" w14:textId="77777777" w:rsidR="004262EA" w:rsidRDefault="004262EA" w:rsidP="004262EA">
      <w:pPr>
        <w:rPr>
          <w:b/>
          <w:bCs/>
        </w:rPr>
      </w:pPr>
    </w:p>
    <w:p w14:paraId="5BA35F6E" w14:textId="75C1B330" w:rsidR="00C827B2" w:rsidRDefault="00EB61CF" w:rsidP="00DB3D0D">
      <w:pPr>
        <w:pStyle w:val="Heading3"/>
      </w:pPr>
      <w:r w:rsidRPr="00E9687E">
        <w:t>School of Social Work</w:t>
      </w:r>
    </w:p>
    <w:p w14:paraId="4BC542F2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SOWK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600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Social Welfare and Social Policy</w:t>
      </w:r>
    </w:p>
    <w:p w14:paraId="69A61C9F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SOWK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645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Human Behavior and Social Environment</w:t>
      </w:r>
    </w:p>
    <w:p w14:paraId="24A4F062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SOWK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701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Public Policy Social Justice - Part 1</w:t>
      </w:r>
    </w:p>
    <w:p w14:paraId="66A6934D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SOWK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704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Social Work and the Law</w:t>
      </w:r>
    </w:p>
    <w:p w14:paraId="1F6DD78D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SOWK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708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Integrated Behavioral Health Policy</w:t>
      </w:r>
    </w:p>
    <w:p w14:paraId="53F30940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SOWK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816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Philosophy of Science and Socially Just Research</w:t>
      </w:r>
    </w:p>
    <w:p w14:paraId="2DB6AB9A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SWOA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707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Social Policy and Social Change</w:t>
      </w:r>
    </w:p>
    <w:p w14:paraId="53E1F422" w14:textId="77777777" w:rsidR="004262EA" w:rsidRPr="004262EA" w:rsidRDefault="004262EA" w:rsidP="004262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SWOA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794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Leadership, Policy, and Social Change Advanced Practicum I</w:t>
      </w:r>
    </w:p>
    <w:p w14:paraId="6F8D2434" w14:textId="1E5F973E" w:rsidR="001F580E" w:rsidRPr="0005008C" w:rsidRDefault="004262EA" w:rsidP="004262EA">
      <w:pPr>
        <w:rPr>
          <w:rFonts w:ascii="Calibri" w:eastAsia="Calibri" w:hAnsi="Calibri" w:cs="Calibri"/>
        </w:rPr>
      </w:pP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>SWOA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795</w:t>
      </w:r>
      <w:r w:rsidRPr="004262EA">
        <w:rPr>
          <w:rFonts w:ascii="Calibri" w:eastAsia="Times New Roman" w:hAnsi="Calibri" w:cs="Calibri"/>
          <w:color w:val="000000"/>
          <w:kern w:val="0"/>
          <w14:ligatures w14:val="none"/>
        </w:rPr>
        <w:tab/>
        <w:t>Leadership, Policy, and Social Change Advanced Practicum II</w:t>
      </w:r>
    </w:p>
    <w:sectPr w:rsidR="001F580E" w:rsidRPr="00050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F4BD" w14:textId="77777777" w:rsidR="00417458" w:rsidRDefault="00417458" w:rsidP="00DB3D0D">
      <w:pPr>
        <w:spacing w:after="0" w:line="240" w:lineRule="auto"/>
      </w:pPr>
      <w:r>
        <w:separator/>
      </w:r>
    </w:p>
  </w:endnote>
  <w:endnote w:type="continuationSeparator" w:id="0">
    <w:p w14:paraId="18266BE8" w14:textId="77777777" w:rsidR="00417458" w:rsidRDefault="00417458" w:rsidP="00DB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3A9A" w14:textId="77777777" w:rsidR="00417458" w:rsidRDefault="00417458" w:rsidP="00DB3D0D">
      <w:pPr>
        <w:spacing w:after="0" w:line="240" w:lineRule="auto"/>
      </w:pPr>
      <w:r>
        <w:separator/>
      </w:r>
    </w:p>
  </w:footnote>
  <w:footnote w:type="continuationSeparator" w:id="0">
    <w:p w14:paraId="71B7C55A" w14:textId="77777777" w:rsidR="00417458" w:rsidRDefault="00417458" w:rsidP="00DB3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5"/>
    <w:rsid w:val="00046F08"/>
    <w:rsid w:val="0005008C"/>
    <w:rsid w:val="000852FD"/>
    <w:rsid w:val="000B4699"/>
    <w:rsid w:val="000E01D1"/>
    <w:rsid w:val="001133E5"/>
    <w:rsid w:val="00121B6B"/>
    <w:rsid w:val="00167E32"/>
    <w:rsid w:val="001F4005"/>
    <w:rsid w:val="001F580E"/>
    <w:rsid w:val="002A6809"/>
    <w:rsid w:val="00307E07"/>
    <w:rsid w:val="00360FC1"/>
    <w:rsid w:val="003B018C"/>
    <w:rsid w:val="003E0E89"/>
    <w:rsid w:val="003E5E6C"/>
    <w:rsid w:val="00417458"/>
    <w:rsid w:val="004262EA"/>
    <w:rsid w:val="0052143D"/>
    <w:rsid w:val="00524F18"/>
    <w:rsid w:val="00556E11"/>
    <w:rsid w:val="00576665"/>
    <w:rsid w:val="00626AC4"/>
    <w:rsid w:val="006567EB"/>
    <w:rsid w:val="006C79C1"/>
    <w:rsid w:val="007333A4"/>
    <w:rsid w:val="00750550"/>
    <w:rsid w:val="007905B0"/>
    <w:rsid w:val="007B13A5"/>
    <w:rsid w:val="007F3FBA"/>
    <w:rsid w:val="00860A85"/>
    <w:rsid w:val="00865AD9"/>
    <w:rsid w:val="00927948"/>
    <w:rsid w:val="009619A2"/>
    <w:rsid w:val="0098561B"/>
    <w:rsid w:val="009E43C0"/>
    <w:rsid w:val="00A52308"/>
    <w:rsid w:val="00AA65D4"/>
    <w:rsid w:val="00AB0477"/>
    <w:rsid w:val="00B04A84"/>
    <w:rsid w:val="00B1487A"/>
    <w:rsid w:val="00B258D5"/>
    <w:rsid w:val="00B47932"/>
    <w:rsid w:val="00C827B2"/>
    <w:rsid w:val="00D8684A"/>
    <w:rsid w:val="00D9750D"/>
    <w:rsid w:val="00DB3D0D"/>
    <w:rsid w:val="00E11612"/>
    <w:rsid w:val="00E12178"/>
    <w:rsid w:val="00E33804"/>
    <w:rsid w:val="00E74B51"/>
    <w:rsid w:val="00E9687E"/>
    <w:rsid w:val="00EB0AAA"/>
    <w:rsid w:val="00EB61CF"/>
    <w:rsid w:val="00EF257F"/>
    <w:rsid w:val="00EF390B"/>
    <w:rsid w:val="00F01536"/>
    <w:rsid w:val="00F75310"/>
    <w:rsid w:val="00FF2614"/>
    <w:rsid w:val="03C6EB75"/>
    <w:rsid w:val="04AF4381"/>
    <w:rsid w:val="04EAC3C9"/>
    <w:rsid w:val="04F464DE"/>
    <w:rsid w:val="0595773C"/>
    <w:rsid w:val="05A81B82"/>
    <w:rsid w:val="05C46095"/>
    <w:rsid w:val="060FB4EA"/>
    <w:rsid w:val="0899A68E"/>
    <w:rsid w:val="08BE9722"/>
    <w:rsid w:val="09E7784B"/>
    <w:rsid w:val="0D029881"/>
    <w:rsid w:val="0FA06033"/>
    <w:rsid w:val="106A151C"/>
    <w:rsid w:val="1286D7A4"/>
    <w:rsid w:val="14D34217"/>
    <w:rsid w:val="15975F9A"/>
    <w:rsid w:val="169FEBE9"/>
    <w:rsid w:val="183F9D81"/>
    <w:rsid w:val="18B25A95"/>
    <w:rsid w:val="1C31CB65"/>
    <w:rsid w:val="2022AD10"/>
    <w:rsid w:val="21A071A4"/>
    <w:rsid w:val="2290C83F"/>
    <w:rsid w:val="237A8A39"/>
    <w:rsid w:val="2464AB92"/>
    <w:rsid w:val="2822A28B"/>
    <w:rsid w:val="285631BA"/>
    <w:rsid w:val="2A61B7A3"/>
    <w:rsid w:val="2C123851"/>
    <w:rsid w:val="2CF4A512"/>
    <w:rsid w:val="2D055003"/>
    <w:rsid w:val="2EEBBF5E"/>
    <w:rsid w:val="312BEB8B"/>
    <w:rsid w:val="31B81282"/>
    <w:rsid w:val="31DFDBB5"/>
    <w:rsid w:val="3450B444"/>
    <w:rsid w:val="34BE87C0"/>
    <w:rsid w:val="379F1C7F"/>
    <w:rsid w:val="3CEF8792"/>
    <w:rsid w:val="3F59B47C"/>
    <w:rsid w:val="4044A6D8"/>
    <w:rsid w:val="41902FB8"/>
    <w:rsid w:val="424F7A39"/>
    <w:rsid w:val="42FDE97F"/>
    <w:rsid w:val="493957E9"/>
    <w:rsid w:val="49E9AFD3"/>
    <w:rsid w:val="4BBF2F05"/>
    <w:rsid w:val="4DD806E1"/>
    <w:rsid w:val="50A5B99B"/>
    <w:rsid w:val="5108B80D"/>
    <w:rsid w:val="51B057CA"/>
    <w:rsid w:val="54BE69DA"/>
    <w:rsid w:val="56264442"/>
    <w:rsid w:val="56FD2D5C"/>
    <w:rsid w:val="57C32F01"/>
    <w:rsid w:val="58BA24E2"/>
    <w:rsid w:val="5912CC00"/>
    <w:rsid w:val="5C3C31CA"/>
    <w:rsid w:val="603EAF99"/>
    <w:rsid w:val="61A4A96A"/>
    <w:rsid w:val="629B65AA"/>
    <w:rsid w:val="6476A33C"/>
    <w:rsid w:val="655119A2"/>
    <w:rsid w:val="6812B2CA"/>
    <w:rsid w:val="6AAB416E"/>
    <w:rsid w:val="6B04D305"/>
    <w:rsid w:val="6BB6B526"/>
    <w:rsid w:val="6D407406"/>
    <w:rsid w:val="6E02CB0B"/>
    <w:rsid w:val="6E8FF5F0"/>
    <w:rsid w:val="6F40066B"/>
    <w:rsid w:val="700B4452"/>
    <w:rsid w:val="7070B4FE"/>
    <w:rsid w:val="70EB23FF"/>
    <w:rsid w:val="716B6F4C"/>
    <w:rsid w:val="7691826B"/>
    <w:rsid w:val="7841E615"/>
    <w:rsid w:val="78633F6A"/>
    <w:rsid w:val="78ADA09E"/>
    <w:rsid w:val="7C92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F58C5"/>
  <w15:chartTrackingRefBased/>
  <w15:docId w15:val="{C7098411-626A-4EBE-9B77-D30C7A9F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D0D"/>
    <w:pPr>
      <w:spacing w:after="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D0D"/>
    <w:pPr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3D0D"/>
    <w:pPr>
      <w:outlineLvl w:val="2"/>
    </w:pPr>
    <w:rPr>
      <w:b/>
      <w:bCs/>
      <w:color w:val="00769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D0D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B3D0D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3D0D"/>
    <w:rPr>
      <w:b/>
      <w:bCs/>
      <w:color w:val="00769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3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46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6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E3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D0D"/>
  </w:style>
  <w:style w:type="paragraph" w:styleId="Footer">
    <w:name w:val="footer"/>
    <w:basedOn w:val="Normal"/>
    <w:link w:val="FooterChar"/>
    <w:uiPriority w:val="99"/>
    <w:unhideWhenUsed/>
    <w:rsid w:val="00DB3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urfs.umaryland.edu/StudentRegistrationSsb/ssb/classSearch/classSearch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47A011624854A91BD7BCA50950C15" ma:contentTypeVersion="42" ma:contentTypeDescription="Create a new document." ma:contentTypeScope="" ma:versionID="ff7b50d6eb8616093238abee172a09ef">
  <xsd:schema xmlns:xsd="http://www.w3.org/2001/XMLSchema" xmlns:xs="http://www.w3.org/2001/XMLSchema" xmlns:p="http://schemas.microsoft.com/office/2006/metadata/properties" xmlns:ns1="http://schemas.microsoft.com/sharepoint/v3" xmlns:ns2="06e94eae-9959-455c-b794-0834ee7f214d" xmlns:ns3="10e8b6bd-38cc-4af2-964d-2336eb7d3277" targetNamespace="http://schemas.microsoft.com/office/2006/metadata/properties" ma:root="true" ma:fieldsID="0df6911dc91301b6638e328acb1fff7b" ns1:_="" ns2:_="" ns3:_="">
    <xsd:import namespace="http://schemas.microsoft.com/sharepoint/v3"/>
    <xsd:import namespace="06e94eae-9959-455c-b794-0834ee7f214d"/>
    <xsd:import namespace="10e8b6bd-38cc-4af2-964d-2336eb7d327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4eae-9959-455c-b794-0834ee7f214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48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4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b6bd-38cc-4af2-964d-2336eb7d3277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e748f035-5555-44c9-a911-37a7e7504f33}" ma:internalName="TaxCatchAll" ma:showField="CatchAllData" ma:web="10e8b6bd-38cc-4af2-964d-2336eb7d3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06e94eae-9959-455c-b794-0834ee7f214d" xsi:nil="true"/>
    <DefaultSectionNames xmlns="06e94eae-9959-455c-b794-0834ee7f214d" xsi:nil="true"/>
    <Invited_Members xmlns="06e94eae-9959-455c-b794-0834ee7f214d" xsi:nil="true"/>
    <_ip_UnifiedCompliancePolicyUIAction xmlns="http://schemas.microsoft.com/sharepoint/v3" xsi:nil="true"/>
    <Templates xmlns="06e94eae-9959-455c-b794-0834ee7f214d" xsi:nil="true"/>
    <FolderType xmlns="06e94eae-9959-455c-b794-0834ee7f214d" xsi:nil="true"/>
    <Math_Settings xmlns="06e94eae-9959-455c-b794-0834ee7f214d" xsi:nil="true"/>
    <Owner xmlns="06e94eae-9959-455c-b794-0834ee7f214d">
      <UserInfo>
        <DisplayName/>
        <AccountId xsi:nil="true"/>
        <AccountType/>
      </UserInfo>
    </Owner>
    <AppVersion xmlns="06e94eae-9959-455c-b794-0834ee7f214d" xsi:nil="true"/>
    <LMS_Mappings xmlns="06e94eae-9959-455c-b794-0834ee7f214d" xsi:nil="true"/>
    <TaxCatchAll xmlns="10e8b6bd-38cc-4af2-964d-2336eb7d3277" xsi:nil="true"/>
    <_ip_UnifiedCompliancePolicyProperties xmlns="http://schemas.microsoft.com/sharepoint/v3" xsi:nil="true"/>
    <NotebookType xmlns="06e94eae-9959-455c-b794-0834ee7f214d" xsi:nil="true"/>
    <Distribution_Groups xmlns="06e94eae-9959-455c-b794-0834ee7f214d" xsi:nil="true"/>
    <Invited_Leaders xmlns="06e94eae-9959-455c-b794-0834ee7f214d" xsi:nil="true"/>
    <Members xmlns="06e94eae-9959-455c-b794-0834ee7f214d">
      <UserInfo>
        <DisplayName/>
        <AccountId xsi:nil="true"/>
        <AccountType/>
      </UserInfo>
    </Members>
    <Member_Groups xmlns="06e94eae-9959-455c-b794-0834ee7f214d">
      <UserInfo>
        <DisplayName/>
        <AccountId xsi:nil="true"/>
        <AccountType/>
      </UserInfo>
    </Member_Groups>
    <Has_Leaders_Only_SectionGroup xmlns="06e94eae-9959-455c-b794-0834ee7f214d" xsi:nil="true"/>
    <TeamsChannelId xmlns="06e94eae-9959-455c-b794-0834ee7f214d" xsi:nil="true"/>
    <Is_Collaboration_Space_Locked xmlns="06e94eae-9959-455c-b794-0834ee7f214d" xsi:nil="true"/>
    <Self_Registration_Enabled xmlns="06e94eae-9959-455c-b794-0834ee7f214d" xsi:nil="true"/>
    <CultureName xmlns="06e94eae-9959-455c-b794-0834ee7f214d" xsi:nil="true"/>
    <Leaders xmlns="06e94eae-9959-455c-b794-0834ee7f214d">
      <UserInfo>
        <DisplayName/>
        <AccountId xsi:nil="true"/>
        <AccountType/>
      </UserInfo>
    </Leaders>
    <lcf76f155ced4ddcb4097134ff3c332f xmlns="06e94eae-9959-455c-b794-0834ee7f214d">
      <Terms xmlns="http://schemas.microsoft.com/office/infopath/2007/PartnerControls"/>
    </lcf76f155ced4ddcb4097134ff3c332f>
    <_Flow_SignoffStatus xmlns="06e94eae-9959-455c-b794-0834ee7f21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E56D0-D6E7-4502-908E-7FDF827E7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e94eae-9959-455c-b794-0834ee7f214d"/>
    <ds:schemaRef ds:uri="10e8b6bd-38cc-4af2-964d-2336eb7d3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DE93A-31CD-4CA8-9454-08A97D5E24E4}">
  <ds:schemaRefs>
    <ds:schemaRef ds:uri="10e8b6bd-38cc-4af2-964d-2336eb7d3277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06e94eae-9959-455c-b794-0834ee7f214d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4FDAF1-C94D-4806-944B-9F6D3F1E98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4539</Characters>
  <Application>Microsoft Office Word</Application>
  <DocSecurity>0</DocSecurity>
  <Lines>122</Lines>
  <Paragraphs>127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Amy</dc:creator>
  <cp:keywords/>
  <dc:description/>
  <cp:lastModifiedBy>Taylor, Lauren</cp:lastModifiedBy>
  <cp:revision>2</cp:revision>
  <dcterms:created xsi:type="dcterms:W3CDTF">2026-04-07T18:03:00Z</dcterms:created>
  <dcterms:modified xsi:type="dcterms:W3CDTF">2026-04-07T18:03:00Z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0x010100CCC47A011624854A91BD7BCA50950C15</vt:lpwstr>
  </property>
  <property fmtid="{D5CDD505-2E9C-101B-9397-08002B2CF9AE}" pid="3" name="MediaServiceImageTags">
    <vt:lpwstr/>
  </property>
</Properties>
</file>