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11" w:rsidRPr="00EC3201" w:rsidRDefault="00A660DB">
      <w:pPr>
        <w:rPr>
          <w:b/>
          <w:u w:val="single"/>
        </w:rPr>
      </w:pPr>
      <w:r w:rsidRPr="00EC3201">
        <w:rPr>
          <w:b/>
          <w:u w:val="single"/>
        </w:rPr>
        <w:t>Revisions to the Federal Regulations Governing Human Subjects Research – effective January 21, 2019</w:t>
      </w:r>
    </w:p>
    <w:p w:rsidR="00A660DB" w:rsidRPr="00EC3201" w:rsidRDefault="00A660DB">
      <w:pPr>
        <w:rPr>
          <w:b/>
        </w:rPr>
      </w:pPr>
      <w:r w:rsidRPr="00EC3201">
        <w:rPr>
          <w:b/>
        </w:rPr>
        <w:t>At U</w:t>
      </w:r>
      <w:r w:rsidR="00EC3201">
        <w:rPr>
          <w:b/>
        </w:rPr>
        <w:t xml:space="preserve">niversity of Maryland </w:t>
      </w:r>
      <w:r w:rsidRPr="00EC3201">
        <w:rPr>
          <w:b/>
        </w:rPr>
        <w:t>B</w:t>
      </w:r>
      <w:r w:rsidR="00EC3201">
        <w:rPr>
          <w:b/>
        </w:rPr>
        <w:t>altimore</w:t>
      </w:r>
      <w:r w:rsidRPr="00EC3201">
        <w:rPr>
          <w:b/>
        </w:rPr>
        <w:t>, these changes are applied to all non-exempt, non-FDA regulated research, regardless of funding.</w:t>
      </w:r>
    </w:p>
    <w:p w:rsidR="00EC3201" w:rsidRDefault="00EC3201">
      <w:pPr>
        <w:rPr>
          <w:b/>
        </w:rPr>
      </w:pPr>
      <w:r w:rsidRPr="00EC3201">
        <w:rPr>
          <w:b/>
        </w:rPr>
        <w:t xml:space="preserve">New regulations apply to research that is </w:t>
      </w:r>
      <w:r>
        <w:rPr>
          <w:b/>
        </w:rPr>
        <w:t xml:space="preserve">IRB </w:t>
      </w:r>
      <w:r w:rsidRPr="00EC3201">
        <w:rPr>
          <w:b/>
        </w:rPr>
        <w:t>approved after January 21, 2019</w:t>
      </w:r>
      <w:r>
        <w:rPr>
          <w:b/>
        </w:rPr>
        <w:t>.</w:t>
      </w:r>
    </w:p>
    <w:p w:rsidR="00EC3201" w:rsidRDefault="00EC3201">
      <w:pPr>
        <w:rPr>
          <w:b/>
        </w:rPr>
      </w:pPr>
      <w:r>
        <w:rPr>
          <w:b/>
        </w:rPr>
        <w:t xml:space="preserve">Currently approved research will </w:t>
      </w:r>
      <w:r w:rsidRPr="00EC3201">
        <w:rPr>
          <w:b/>
          <w:u w:val="single"/>
        </w:rPr>
        <w:t xml:space="preserve">not </w:t>
      </w:r>
      <w:r>
        <w:rPr>
          <w:b/>
        </w:rPr>
        <w:t xml:space="preserve">be transitioned to new regulations </w:t>
      </w:r>
      <w:proofErr w:type="gramStart"/>
      <w:r>
        <w:rPr>
          <w:b/>
        </w:rPr>
        <w:t>( ex</w:t>
      </w:r>
      <w:proofErr w:type="gramEnd"/>
      <w:r>
        <w:rPr>
          <w:b/>
        </w:rPr>
        <w:t xml:space="preserve">. If your study currently requires continuing review (CR), then CR will be required for the length of your study). </w:t>
      </w:r>
    </w:p>
    <w:p w:rsidR="00EC3201" w:rsidRPr="00EC3201" w:rsidRDefault="00EC3201">
      <w:pPr>
        <w:rPr>
          <w:b/>
        </w:rPr>
      </w:pPr>
      <w:r>
        <w:rPr>
          <w:b/>
        </w:rPr>
        <w:t xml:space="preserve">If new studies are currently undergoing IRB review and would be approved after January 21, 2019, then they are subject to these new regulations. </w:t>
      </w:r>
    </w:p>
    <w:p w:rsidR="00A660DB" w:rsidRDefault="00A660DB" w:rsidP="00A660DB">
      <w:pPr>
        <w:pStyle w:val="ListParagraph"/>
        <w:numPr>
          <w:ilvl w:val="0"/>
          <w:numId w:val="1"/>
        </w:numPr>
      </w:pPr>
      <w:r>
        <w:t>Update to what is not considered research—journalistic activities, certain public health surveillance activities.</w:t>
      </w:r>
    </w:p>
    <w:p w:rsidR="00A660DB" w:rsidRDefault="00A660DB" w:rsidP="00A660DB">
      <w:pPr>
        <w:pStyle w:val="ListParagraph"/>
        <w:numPr>
          <w:ilvl w:val="0"/>
          <w:numId w:val="1"/>
        </w:numPr>
      </w:pPr>
      <w:r>
        <w:t>Updated definition of human subject</w:t>
      </w:r>
    </w:p>
    <w:p w:rsidR="00573CB3" w:rsidRDefault="00573CB3" w:rsidP="00573CB3">
      <w:pPr>
        <w:pStyle w:val="ListParagraph"/>
        <w:numPr>
          <w:ilvl w:val="1"/>
          <w:numId w:val="1"/>
        </w:numPr>
      </w:pPr>
      <w:r w:rsidRPr="00573CB3">
        <w:t xml:space="preserve">Human subject means a living individual about whom an investigator (whether professional or student) conducting research: (i) Obtains information or </w:t>
      </w:r>
      <w:proofErr w:type="spellStart"/>
      <w:r w:rsidRPr="00573CB3">
        <w:t>biospecimens</w:t>
      </w:r>
      <w:proofErr w:type="spellEnd"/>
      <w:r w:rsidRPr="00573CB3">
        <w:t xml:space="preserve"> through intervention or interaction with the individual, and uses, studies, or analyzes the information or </w:t>
      </w:r>
      <w:proofErr w:type="spellStart"/>
      <w:r w:rsidRPr="00573CB3">
        <w:t>biospecimens</w:t>
      </w:r>
      <w:proofErr w:type="spellEnd"/>
      <w:r w:rsidRPr="00573CB3">
        <w:t>; or (ii) Obtains, uses, studies, analyzes, or generates identifiable private informatio</w:t>
      </w:r>
      <w:r>
        <w:t xml:space="preserve">n or identifiable </w:t>
      </w:r>
      <w:proofErr w:type="spellStart"/>
      <w:r>
        <w:t>biospecimens</w:t>
      </w:r>
      <w:proofErr w:type="spellEnd"/>
      <w:r>
        <w:t>.</w:t>
      </w:r>
    </w:p>
    <w:p w:rsidR="00A660DB" w:rsidRDefault="00A660DB" w:rsidP="00A660DB">
      <w:pPr>
        <w:pStyle w:val="ListParagraph"/>
        <w:numPr>
          <w:ilvl w:val="0"/>
          <w:numId w:val="1"/>
        </w:numPr>
      </w:pPr>
      <w:r>
        <w:t xml:space="preserve">Requirement removed for continuing review </w:t>
      </w:r>
      <w:r w:rsidR="00091220">
        <w:t>of</w:t>
      </w:r>
      <w:r>
        <w:t xml:space="preserve"> minima</w:t>
      </w:r>
      <w:r w:rsidR="00091220">
        <w:t>l risk research and for greater-</w:t>
      </w:r>
      <w:r>
        <w:t>than minimal risk research that is in long-term follow-up or data analysis only.</w:t>
      </w:r>
      <w:r w:rsidR="00573CB3">
        <w:t xml:space="preserve"> UMB IRB can require continuing review for minimal risk research in instances of non-compliance. UMB will require a progress report every two years to ascertain information on enrollment numbers.</w:t>
      </w:r>
    </w:p>
    <w:p w:rsidR="00367BD2" w:rsidRDefault="00367BD2" w:rsidP="00A660DB">
      <w:pPr>
        <w:pStyle w:val="ListParagraph"/>
        <w:numPr>
          <w:ilvl w:val="0"/>
          <w:numId w:val="1"/>
        </w:numPr>
      </w:pPr>
      <w:r>
        <w:t xml:space="preserve">Changes to </w:t>
      </w:r>
      <w:r w:rsidR="00091220">
        <w:t>basic and additional elements of informed consent to be included in informed consent document (ICD)</w:t>
      </w:r>
    </w:p>
    <w:p w:rsidR="00351133" w:rsidRPr="00351133" w:rsidRDefault="00351133" w:rsidP="00351133">
      <w:pPr>
        <w:pStyle w:val="ListParagraph"/>
        <w:numPr>
          <w:ilvl w:val="0"/>
          <w:numId w:val="1"/>
        </w:numPr>
      </w:pPr>
      <w:r>
        <w:t xml:space="preserve">ICD - </w:t>
      </w:r>
      <w:r w:rsidRPr="00351133">
        <w:rPr>
          <w:i/>
          <w:iCs/>
        </w:rPr>
        <w:t>Reasonable Person Standard</w:t>
      </w:r>
      <w:r w:rsidRPr="00351133">
        <w:t>: The prospective research participant must be provided with information “that a reasonable person would want to have in order to make an informed decision,” as well as an opportunity to discuss such information.</w:t>
      </w:r>
    </w:p>
    <w:p w:rsidR="00091220" w:rsidRDefault="00091220" w:rsidP="00A660DB">
      <w:pPr>
        <w:pStyle w:val="ListParagraph"/>
        <w:numPr>
          <w:ilvl w:val="0"/>
          <w:numId w:val="1"/>
        </w:numPr>
      </w:pPr>
      <w:r>
        <w:t>Requirement for concise and focused summary of information at the beginning of ICD that a subject or legally authorized representative would want to have to make a decision about potentially participating in a study.</w:t>
      </w:r>
    </w:p>
    <w:p w:rsidR="00091220" w:rsidRDefault="00091220" w:rsidP="00A660DB">
      <w:pPr>
        <w:pStyle w:val="ListParagraph"/>
        <w:numPr>
          <w:ilvl w:val="0"/>
          <w:numId w:val="1"/>
        </w:numPr>
      </w:pPr>
      <w:r>
        <w:t xml:space="preserve">Requirement for final version of ICD used to recruit subjects to be posted by lead researcher either to Clinical trials. </w:t>
      </w:r>
      <w:proofErr w:type="spellStart"/>
      <w:proofErr w:type="gramStart"/>
      <w:r>
        <w:t>gov</w:t>
      </w:r>
      <w:proofErr w:type="spellEnd"/>
      <w:proofErr w:type="gramEnd"/>
      <w:r>
        <w:t xml:space="preserve"> or Regulations.org. This is to promote transparency of research and improve quality of ICDs long-term. </w:t>
      </w:r>
      <w:r w:rsidR="00993959">
        <w:t xml:space="preserve"> HRPO recommends not posting ICD unless sponsor/grantee or UMB directs lead researcher/awardee to do so. </w:t>
      </w:r>
    </w:p>
    <w:p w:rsidR="00091220" w:rsidRDefault="00091220" w:rsidP="00091220">
      <w:pPr>
        <w:pStyle w:val="ListParagraph"/>
        <w:numPr>
          <w:ilvl w:val="0"/>
          <w:numId w:val="1"/>
        </w:numPr>
      </w:pPr>
      <w:r>
        <w:t>Broadening and revision to exemption categories. (Continuing review is not required)</w:t>
      </w:r>
    </w:p>
    <w:p w:rsidR="00091220" w:rsidRPr="00367BD2" w:rsidRDefault="00091220" w:rsidP="00091220">
      <w:pPr>
        <w:pStyle w:val="ListParagraph"/>
        <w:numPr>
          <w:ilvl w:val="1"/>
          <w:numId w:val="1"/>
        </w:numPr>
      </w:pPr>
      <w:r>
        <w:t>Category 1 -</w:t>
      </w:r>
      <w:r w:rsidRPr="00367BD2">
        <w:t>Educational research: Minor changes were made, clarifying that the research must not disrupt students’ learning.</w:t>
      </w:r>
    </w:p>
    <w:p w:rsidR="00091220" w:rsidRPr="00367BD2" w:rsidRDefault="00091220" w:rsidP="00091220">
      <w:pPr>
        <w:pStyle w:val="ListParagraph"/>
        <w:numPr>
          <w:ilvl w:val="1"/>
          <w:numId w:val="1"/>
        </w:numPr>
      </w:pPr>
      <w:r>
        <w:t>Category 2 -</w:t>
      </w:r>
      <w:r w:rsidRPr="00367BD2">
        <w:t xml:space="preserve">Previously, this category only applied to anonymous or non-sensitive research. </w:t>
      </w:r>
      <w:r w:rsidR="00414D14">
        <w:t>Now</w:t>
      </w:r>
      <w:r w:rsidRPr="00367BD2">
        <w:t xml:space="preserve"> there is a provision for certain kinds of sensitive data to remain identifiable or coded, if sufficient protections are in place to ensure data security.</w:t>
      </w:r>
    </w:p>
    <w:p w:rsidR="00091220" w:rsidRPr="00367BD2" w:rsidRDefault="00091220" w:rsidP="00091220">
      <w:pPr>
        <w:pStyle w:val="ListParagraph"/>
        <w:numPr>
          <w:ilvl w:val="1"/>
          <w:numId w:val="1"/>
        </w:numPr>
      </w:pPr>
      <w:r>
        <w:t>C</w:t>
      </w:r>
      <w:r w:rsidRPr="00367BD2">
        <w:t xml:space="preserve">ategory </w:t>
      </w:r>
      <w:r>
        <w:t>3- I</w:t>
      </w:r>
      <w:r w:rsidRPr="00367BD2">
        <w:t>nvolving only “benign behavioral interventions” with adult subjects. The data must be anonymous or non-sensitive, or have sufficient protections in place to ensure data security.</w:t>
      </w:r>
      <w:r>
        <w:t xml:space="preserve"> Benign defined as brief, harmless, painless not physically invasive etc. </w:t>
      </w:r>
    </w:p>
    <w:p w:rsidR="00091220" w:rsidRPr="00367BD2" w:rsidRDefault="00091220" w:rsidP="00091220">
      <w:pPr>
        <w:pStyle w:val="ListParagraph"/>
        <w:numPr>
          <w:ilvl w:val="1"/>
          <w:numId w:val="1"/>
        </w:numPr>
      </w:pPr>
      <w:r>
        <w:lastRenderedPageBreak/>
        <w:t xml:space="preserve">Category 4 - </w:t>
      </w:r>
      <w:r w:rsidRPr="00367BD2">
        <w:rPr>
          <w:bCs/>
        </w:rPr>
        <w:t>Secondary research on existing data or specimens that are identifiable if certain conditions are met.</w:t>
      </w:r>
      <w:r>
        <w:rPr>
          <w:b/>
          <w:bCs/>
        </w:rPr>
        <w:t xml:space="preserve"> </w:t>
      </w:r>
    </w:p>
    <w:p w:rsidR="00091220" w:rsidRDefault="00091220" w:rsidP="00091220">
      <w:pPr>
        <w:pStyle w:val="ListParagraph"/>
        <w:numPr>
          <w:ilvl w:val="1"/>
          <w:numId w:val="1"/>
        </w:numPr>
      </w:pPr>
      <w:r>
        <w:t>Category 5—</w:t>
      </w:r>
      <w:r w:rsidR="00414D14">
        <w:t>R</w:t>
      </w:r>
      <w:r>
        <w:t>esearch conducted by federal depts. or agencies—may be in conjunction with faculty.</w:t>
      </w:r>
    </w:p>
    <w:p w:rsidR="00351133" w:rsidRDefault="00091220" w:rsidP="00351133">
      <w:pPr>
        <w:pStyle w:val="ListParagraph"/>
        <w:numPr>
          <w:ilvl w:val="1"/>
          <w:numId w:val="1"/>
        </w:numPr>
      </w:pPr>
      <w:r>
        <w:t>Catego</w:t>
      </w:r>
      <w:r w:rsidR="00351133">
        <w:t>ry 6 –Food and taste—unchanged.</w:t>
      </w:r>
    </w:p>
    <w:p w:rsidR="00351133" w:rsidRDefault="00351133" w:rsidP="00351133">
      <w:pPr>
        <w:pStyle w:val="ListParagraph"/>
        <w:ind w:left="1440"/>
      </w:pPr>
    </w:p>
    <w:p w:rsidR="00091220" w:rsidRDefault="00EC3201" w:rsidP="00091220">
      <w:r>
        <w:t>See HRPO website (</w:t>
      </w:r>
      <w:hyperlink r:id="rId5" w:history="1">
        <w:r w:rsidR="008710F9" w:rsidRPr="002019C5">
          <w:rPr>
            <w:rStyle w:val="Hyperlink"/>
          </w:rPr>
          <w:t>https://www.umaryland.edu/hrp/for-researchers/consent-form-templates/</w:t>
        </w:r>
      </w:hyperlink>
      <w:r w:rsidR="008710F9">
        <w:t xml:space="preserve"> </w:t>
      </w:r>
      <w:bookmarkStart w:id="0" w:name="_GoBack"/>
      <w:bookmarkEnd w:id="0"/>
      <w:r>
        <w:t>) for new IC template (combined with HIPAA) and additional links</w:t>
      </w:r>
      <w:r w:rsidR="00997CDF">
        <w:t xml:space="preserve"> to training on changes/revisions to Federal regulations governing human </w:t>
      </w:r>
      <w:proofErr w:type="gramStart"/>
      <w:r w:rsidR="00997CDF">
        <w:t>subjects</w:t>
      </w:r>
      <w:proofErr w:type="gramEnd"/>
      <w:r w:rsidR="00997CDF">
        <w:t xml:space="preserve"> research. </w:t>
      </w:r>
    </w:p>
    <w:sectPr w:rsidR="0009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0F2"/>
    <w:multiLevelType w:val="hybridMultilevel"/>
    <w:tmpl w:val="B9EC4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27131"/>
    <w:multiLevelType w:val="hybridMultilevel"/>
    <w:tmpl w:val="70FC07DE"/>
    <w:lvl w:ilvl="0" w:tplc="1DA6D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B4AD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A9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2F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4C7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AD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E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4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81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4C32D6"/>
    <w:multiLevelType w:val="hybridMultilevel"/>
    <w:tmpl w:val="F8C89A74"/>
    <w:lvl w:ilvl="0" w:tplc="E278A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6A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A0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05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06D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8D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26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2B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6D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B460E70"/>
    <w:multiLevelType w:val="hybridMultilevel"/>
    <w:tmpl w:val="2A741B4C"/>
    <w:lvl w:ilvl="0" w:tplc="8AE02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40D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049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44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616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801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0B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1C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A4F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721B5A"/>
    <w:multiLevelType w:val="hybridMultilevel"/>
    <w:tmpl w:val="F2FA1658"/>
    <w:lvl w:ilvl="0" w:tplc="845C1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6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2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223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629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EC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C6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2A9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C0B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DB"/>
    <w:rsid w:val="00091220"/>
    <w:rsid w:val="00351133"/>
    <w:rsid w:val="00367BD2"/>
    <w:rsid w:val="00414D14"/>
    <w:rsid w:val="00573CB3"/>
    <w:rsid w:val="008710F9"/>
    <w:rsid w:val="00907F29"/>
    <w:rsid w:val="00993959"/>
    <w:rsid w:val="00997CDF"/>
    <w:rsid w:val="00A660DB"/>
    <w:rsid w:val="00EC3201"/>
    <w:rsid w:val="00F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4992"/>
  <w15:chartTrackingRefBased/>
  <w15:docId w15:val="{FBEBCC14-FC4A-4A18-9019-8BF238F4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0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1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1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4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4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aryland.edu/hrp/for-researchers/consent-form-templa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Julie</dc:creator>
  <cp:keywords/>
  <dc:description/>
  <cp:lastModifiedBy>Sadzewicz, Anthony</cp:lastModifiedBy>
  <cp:revision>7</cp:revision>
  <dcterms:created xsi:type="dcterms:W3CDTF">2019-01-17T18:51:00Z</dcterms:created>
  <dcterms:modified xsi:type="dcterms:W3CDTF">2019-01-18T11:51:00Z</dcterms:modified>
</cp:coreProperties>
</file>